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8B9B" w14:textId="77777777" w:rsidR="007B670F" w:rsidRDefault="007B670F" w:rsidP="00C242C2">
      <w:pPr>
        <w:pStyle w:val="Lijstalinea"/>
        <w:spacing w:after="0"/>
        <w:ind w:left="0"/>
        <w:jc w:val="both"/>
        <w:rPr>
          <w:rFonts w:ascii="Verdana" w:hAnsi="Verdana"/>
          <w:b/>
        </w:rPr>
      </w:pPr>
      <w:bookmarkStart w:id="0" w:name="_Hlk82515167"/>
      <w:r w:rsidRPr="009F0575">
        <w:rPr>
          <w:rFonts w:ascii="Verdana" w:hAnsi="Verdana"/>
          <w:b/>
        </w:rPr>
        <w:t>Toetsingscriteria POH GGZ 20</w:t>
      </w:r>
      <w:r>
        <w:rPr>
          <w:rFonts w:ascii="Verdana" w:hAnsi="Verdana"/>
          <w:b/>
        </w:rPr>
        <w:t>22</w:t>
      </w:r>
      <w:bookmarkEnd w:id="0"/>
    </w:p>
    <w:p w14:paraId="271AA912" w14:textId="77777777" w:rsidR="007B670F" w:rsidRDefault="007B670F" w:rsidP="00C242C2">
      <w:pPr>
        <w:pStyle w:val="Lijstalinea"/>
        <w:spacing w:after="0"/>
        <w:ind w:left="0"/>
        <w:jc w:val="both"/>
        <w:rPr>
          <w:rFonts w:ascii="Verdana" w:hAnsi="Verdana" w:cs="Verdana"/>
          <w:i/>
          <w:sz w:val="20"/>
          <w:szCs w:val="20"/>
          <w:u w:val="single"/>
        </w:rPr>
      </w:pPr>
    </w:p>
    <w:p w14:paraId="48FE0A29" w14:textId="52306EE2" w:rsidR="00A03027" w:rsidRPr="0082627D" w:rsidRDefault="00A03027" w:rsidP="00C242C2">
      <w:pPr>
        <w:pStyle w:val="Lijstalinea"/>
        <w:spacing w:after="0"/>
        <w:ind w:left="0"/>
        <w:jc w:val="both"/>
        <w:rPr>
          <w:rFonts w:ascii="Verdana" w:hAnsi="Verdana" w:cs="Verdana"/>
          <w:i/>
          <w:sz w:val="20"/>
          <w:szCs w:val="20"/>
        </w:rPr>
      </w:pPr>
      <w:r w:rsidRPr="00E7601B">
        <w:rPr>
          <w:rFonts w:ascii="Verdana" w:hAnsi="Verdana" w:cs="Verdana"/>
          <w:i/>
          <w:sz w:val="20"/>
          <w:szCs w:val="20"/>
          <w:u w:val="single"/>
        </w:rPr>
        <w:t>Positie en taak POH GGZ</w:t>
      </w:r>
    </w:p>
    <w:p w14:paraId="54D8ADEC" w14:textId="4BA09912" w:rsidR="00A03027" w:rsidRDefault="00A03027" w:rsidP="00C242C2">
      <w:pPr>
        <w:spacing w:after="0"/>
        <w:rPr>
          <w:rFonts w:ascii="Verdana" w:hAnsi="Verdana" w:cs="Verdana"/>
          <w:sz w:val="20"/>
          <w:szCs w:val="20"/>
        </w:rPr>
      </w:pPr>
      <w:r>
        <w:rPr>
          <w:rFonts w:ascii="Verdana" w:hAnsi="Verdana" w:cs="Verdana"/>
          <w:sz w:val="20"/>
          <w:szCs w:val="20"/>
        </w:rPr>
        <w:t xml:space="preserve">De POH GGZ maakt deel uit van het team van de huisartsenpraktijk en ondersteunt de huisarts in de zorg voor patiënten met psychische problemen. De taken van de POH GGZ liggen op het gebied van probleemverheldering, signalering,  en triage, gerichte verwijzing, kortdurende behandeling, </w:t>
      </w:r>
      <w:proofErr w:type="spellStart"/>
      <w:r>
        <w:rPr>
          <w:rFonts w:ascii="Verdana" w:hAnsi="Verdana" w:cs="Verdana"/>
          <w:sz w:val="20"/>
          <w:szCs w:val="20"/>
        </w:rPr>
        <w:t>psycho</w:t>
      </w:r>
      <w:proofErr w:type="spellEnd"/>
      <w:r>
        <w:rPr>
          <w:rFonts w:ascii="Verdana" w:hAnsi="Verdana" w:cs="Verdana"/>
          <w:sz w:val="20"/>
          <w:szCs w:val="20"/>
        </w:rPr>
        <w:t>-educatie en begeleiding. De keuze voor de in te zetten zorg voor de verzekerde (basis, generalistisch of specialistische GGZ) dient gebaseerd te zijn op zorginhoudelijke gronden. Het eigen risico van de verzekerde mag hierbij geen rol spelen.</w:t>
      </w:r>
    </w:p>
    <w:p w14:paraId="6B1D3395" w14:textId="77777777" w:rsidR="00EE1716" w:rsidRDefault="00EE1716" w:rsidP="00C242C2">
      <w:pPr>
        <w:spacing w:after="0"/>
        <w:rPr>
          <w:rFonts w:ascii="Verdana" w:hAnsi="Verdana" w:cs="Verdana"/>
          <w:sz w:val="20"/>
          <w:szCs w:val="20"/>
        </w:rPr>
      </w:pPr>
    </w:p>
    <w:p w14:paraId="17950736" w14:textId="77777777" w:rsidR="00A03027" w:rsidRPr="00A03027" w:rsidRDefault="00A03027" w:rsidP="00C242C2">
      <w:pPr>
        <w:spacing w:after="0"/>
        <w:rPr>
          <w:rFonts w:ascii="Verdana" w:hAnsi="Verdana" w:cs="Verdana"/>
          <w:i/>
          <w:sz w:val="20"/>
          <w:szCs w:val="20"/>
          <w:u w:val="single"/>
        </w:rPr>
      </w:pPr>
      <w:r w:rsidRPr="00A03027">
        <w:rPr>
          <w:rFonts w:ascii="Verdana" w:hAnsi="Verdana" w:cs="Verdana"/>
          <w:i/>
          <w:sz w:val="20"/>
          <w:szCs w:val="20"/>
          <w:u w:val="single"/>
        </w:rPr>
        <w:t>Afbakening functie</w:t>
      </w:r>
    </w:p>
    <w:p w14:paraId="4B42593D" w14:textId="56D5CA62" w:rsidR="00A03027" w:rsidRDefault="00A03027" w:rsidP="00C242C2">
      <w:pPr>
        <w:spacing w:after="0"/>
        <w:rPr>
          <w:rFonts w:ascii="Verdana" w:hAnsi="Verdana" w:cs="Verdana"/>
          <w:sz w:val="20"/>
          <w:szCs w:val="20"/>
        </w:rPr>
      </w:pPr>
      <w:r w:rsidRPr="0082627D">
        <w:rPr>
          <w:rFonts w:ascii="Verdana" w:hAnsi="Verdana" w:cs="Verdana"/>
          <w:sz w:val="20"/>
          <w:szCs w:val="20"/>
        </w:rPr>
        <w:t>De functie POH-GGZ betreft primair een functie ter ondersteuning en onder eindverantwoordelijkheid</w:t>
      </w:r>
      <w:r>
        <w:rPr>
          <w:rFonts w:ascii="Verdana" w:hAnsi="Verdana" w:cs="Verdana"/>
          <w:sz w:val="20"/>
          <w:szCs w:val="20"/>
        </w:rPr>
        <w:t xml:space="preserve"> </w:t>
      </w:r>
      <w:r w:rsidRPr="0082627D">
        <w:rPr>
          <w:rFonts w:ascii="Verdana" w:hAnsi="Verdana" w:cs="Verdana"/>
          <w:sz w:val="20"/>
          <w:szCs w:val="20"/>
        </w:rPr>
        <w:t xml:space="preserve">van de huisarts. De </w:t>
      </w:r>
      <w:r>
        <w:rPr>
          <w:rFonts w:ascii="Verdana" w:hAnsi="Verdana" w:cs="Verdana"/>
          <w:sz w:val="20"/>
          <w:szCs w:val="20"/>
        </w:rPr>
        <w:t xml:space="preserve"> w</w:t>
      </w:r>
      <w:r w:rsidRPr="0082627D">
        <w:rPr>
          <w:rFonts w:ascii="Verdana" w:hAnsi="Verdana" w:cs="Verdana"/>
          <w:sz w:val="20"/>
          <w:szCs w:val="20"/>
        </w:rPr>
        <w:t>erkzaamheden van de POH-GGZ sluiten daarom nauw aan bij de huisartsgeneeskundige</w:t>
      </w:r>
      <w:r>
        <w:rPr>
          <w:rFonts w:ascii="Verdana" w:hAnsi="Verdana" w:cs="Verdana"/>
          <w:sz w:val="20"/>
          <w:szCs w:val="20"/>
        </w:rPr>
        <w:t xml:space="preserve"> </w:t>
      </w:r>
      <w:r w:rsidRPr="0082627D">
        <w:rPr>
          <w:rFonts w:ascii="Verdana" w:hAnsi="Verdana" w:cs="Verdana"/>
          <w:sz w:val="20"/>
          <w:szCs w:val="20"/>
        </w:rPr>
        <w:t xml:space="preserve">zorg voor mensen met psychische, </w:t>
      </w:r>
      <w:r>
        <w:rPr>
          <w:rFonts w:ascii="Verdana" w:hAnsi="Verdana" w:cs="Verdana"/>
          <w:sz w:val="20"/>
          <w:szCs w:val="20"/>
        </w:rPr>
        <w:t>p</w:t>
      </w:r>
      <w:r w:rsidRPr="0082627D">
        <w:rPr>
          <w:rFonts w:ascii="Verdana" w:hAnsi="Verdana" w:cs="Verdana"/>
          <w:sz w:val="20"/>
          <w:szCs w:val="20"/>
        </w:rPr>
        <w:t>sychosomatische en psychosociale klachten.</w:t>
      </w:r>
      <w:r>
        <w:rPr>
          <w:rFonts w:ascii="Verdana" w:hAnsi="Verdana" w:cs="Verdana"/>
          <w:sz w:val="20"/>
          <w:szCs w:val="20"/>
        </w:rPr>
        <w:t xml:space="preserve"> </w:t>
      </w:r>
      <w:r w:rsidRPr="0082627D">
        <w:rPr>
          <w:rFonts w:ascii="Verdana" w:hAnsi="Verdana" w:cs="Verdana"/>
          <w:sz w:val="20"/>
          <w:szCs w:val="20"/>
        </w:rPr>
        <w:t>Leidend hierbij zijn de NHG-Standaarden en andere richtlijnen voor de huisartsenzorg voor genoemde</w:t>
      </w:r>
      <w:r>
        <w:rPr>
          <w:rFonts w:ascii="Verdana" w:hAnsi="Verdana" w:cs="Verdana"/>
          <w:sz w:val="20"/>
          <w:szCs w:val="20"/>
        </w:rPr>
        <w:t xml:space="preserve"> </w:t>
      </w:r>
      <w:r w:rsidRPr="0082627D">
        <w:rPr>
          <w:rFonts w:ascii="Verdana" w:hAnsi="Verdana" w:cs="Verdana"/>
          <w:sz w:val="20"/>
          <w:szCs w:val="20"/>
        </w:rPr>
        <w:t>patiënten, alsmede de voor de huisartsenzorg relevante kwaliteitsstandaarden en samenwerkingsafspraken</w:t>
      </w:r>
      <w:r>
        <w:rPr>
          <w:rFonts w:ascii="Verdana" w:hAnsi="Verdana" w:cs="Verdana"/>
          <w:sz w:val="20"/>
          <w:szCs w:val="20"/>
        </w:rPr>
        <w:t xml:space="preserve"> </w:t>
      </w:r>
      <w:r w:rsidRPr="0082627D">
        <w:rPr>
          <w:rFonts w:ascii="Verdana" w:hAnsi="Verdana" w:cs="Verdana"/>
          <w:sz w:val="20"/>
          <w:szCs w:val="20"/>
        </w:rPr>
        <w:t>van</w:t>
      </w:r>
      <w:r w:rsidR="001939FC">
        <w:rPr>
          <w:rFonts w:ascii="Verdana" w:hAnsi="Verdana" w:cs="Verdana"/>
          <w:sz w:val="20"/>
          <w:szCs w:val="20"/>
        </w:rPr>
        <w:t xml:space="preserve"> de Alliantie kwaliteit in de geestelijke gezondheidszorg</w:t>
      </w:r>
      <w:r w:rsidRPr="0082627D">
        <w:rPr>
          <w:rFonts w:ascii="Verdana" w:hAnsi="Verdana" w:cs="Verdana"/>
          <w:sz w:val="20"/>
          <w:szCs w:val="20"/>
        </w:rPr>
        <w:t xml:space="preserve"> </w:t>
      </w:r>
      <w:r w:rsidR="001939FC">
        <w:rPr>
          <w:rFonts w:ascii="Verdana" w:hAnsi="Verdana" w:cs="Verdana"/>
          <w:sz w:val="20"/>
          <w:szCs w:val="20"/>
        </w:rPr>
        <w:t>(</w:t>
      </w:r>
      <w:proofErr w:type="spellStart"/>
      <w:r w:rsidRPr="0082627D">
        <w:rPr>
          <w:rFonts w:ascii="Verdana" w:hAnsi="Verdana" w:cs="Verdana"/>
          <w:sz w:val="20"/>
          <w:szCs w:val="20"/>
        </w:rPr>
        <w:t>Akwa</w:t>
      </w:r>
      <w:proofErr w:type="spellEnd"/>
      <w:r w:rsidRPr="0082627D">
        <w:rPr>
          <w:rFonts w:ascii="Verdana" w:hAnsi="Verdana" w:cs="Verdana"/>
          <w:sz w:val="20"/>
          <w:szCs w:val="20"/>
        </w:rPr>
        <w:t xml:space="preserve"> ggz</w:t>
      </w:r>
      <w:r w:rsidR="001939FC">
        <w:rPr>
          <w:rFonts w:ascii="Verdana" w:hAnsi="Verdana" w:cs="Verdana"/>
          <w:sz w:val="20"/>
          <w:szCs w:val="20"/>
        </w:rPr>
        <w:t>)</w:t>
      </w:r>
      <w:r w:rsidRPr="0082627D">
        <w:rPr>
          <w:rFonts w:ascii="Verdana" w:hAnsi="Verdana" w:cs="Verdana"/>
          <w:sz w:val="20"/>
          <w:szCs w:val="20"/>
        </w:rPr>
        <w:t>.</w:t>
      </w:r>
    </w:p>
    <w:p w14:paraId="6A8DE28A" w14:textId="77777777" w:rsidR="00EE1716" w:rsidRDefault="00EE1716" w:rsidP="00C242C2">
      <w:pPr>
        <w:spacing w:after="0"/>
        <w:rPr>
          <w:rFonts w:ascii="Verdana" w:hAnsi="Verdana" w:cs="Verdana"/>
          <w:sz w:val="20"/>
          <w:szCs w:val="20"/>
        </w:rPr>
      </w:pPr>
    </w:p>
    <w:p w14:paraId="4B6662F5" w14:textId="77777777" w:rsidR="00A03027" w:rsidRPr="00D72E35" w:rsidRDefault="00A03027" w:rsidP="00C242C2">
      <w:pPr>
        <w:spacing w:after="0"/>
        <w:rPr>
          <w:rFonts w:ascii="Verdana" w:hAnsi="Verdana" w:cs="Verdana"/>
          <w:sz w:val="20"/>
          <w:szCs w:val="20"/>
          <w:u w:val="single"/>
        </w:rPr>
      </w:pPr>
      <w:r w:rsidRPr="00D72E35">
        <w:rPr>
          <w:rFonts w:ascii="Verdana" w:hAnsi="Verdana" w:cs="Verdana"/>
          <w:i/>
          <w:sz w:val="20"/>
          <w:szCs w:val="20"/>
          <w:u w:val="single"/>
        </w:rPr>
        <w:t>Doelgroep</w:t>
      </w:r>
    </w:p>
    <w:p w14:paraId="31EF3D20" w14:textId="6038ABA3" w:rsidR="00A03027" w:rsidRDefault="00A03027" w:rsidP="00C242C2">
      <w:pPr>
        <w:spacing w:after="0"/>
        <w:rPr>
          <w:rFonts w:ascii="Verdana" w:hAnsi="Verdana" w:cs="Verdana"/>
          <w:sz w:val="20"/>
          <w:szCs w:val="20"/>
        </w:rPr>
      </w:pPr>
      <w:r>
        <w:rPr>
          <w:rFonts w:ascii="Verdana" w:hAnsi="Verdana" w:cs="Verdana"/>
          <w:sz w:val="20"/>
          <w:szCs w:val="20"/>
        </w:rPr>
        <w:t>Patiënten met psychische, psychosomatische en psychosociale problematiek in de huisartsenpraktijk.</w:t>
      </w:r>
      <w:r>
        <w:rPr>
          <w:rStyle w:val="Voetnootmarkering"/>
          <w:rFonts w:ascii="Verdana" w:hAnsi="Verdana" w:cs="Verdana"/>
          <w:sz w:val="20"/>
          <w:szCs w:val="20"/>
        </w:rPr>
        <w:footnoteReference w:id="1"/>
      </w:r>
    </w:p>
    <w:p w14:paraId="791D6E71" w14:textId="77777777" w:rsidR="00EE1716" w:rsidRDefault="00EE1716" w:rsidP="00C242C2">
      <w:pPr>
        <w:spacing w:after="0"/>
        <w:rPr>
          <w:rFonts w:ascii="Verdana" w:hAnsi="Verdana" w:cs="Verdana"/>
          <w:sz w:val="20"/>
          <w:szCs w:val="20"/>
        </w:rPr>
      </w:pPr>
    </w:p>
    <w:p w14:paraId="678395CA" w14:textId="77777777" w:rsidR="00A03027" w:rsidRPr="00D72E35" w:rsidRDefault="00A03027" w:rsidP="00C242C2">
      <w:pPr>
        <w:spacing w:after="0"/>
        <w:rPr>
          <w:rFonts w:ascii="Verdana" w:hAnsi="Verdana" w:cs="Verdana"/>
          <w:sz w:val="20"/>
          <w:szCs w:val="20"/>
          <w:u w:val="single"/>
        </w:rPr>
      </w:pPr>
      <w:r w:rsidRPr="00D72E35">
        <w:rPr>
          <w:rFonts w:ascii="Verdana" w:hAnsi="Verdana" w:cs="Verdana"/>
          <w:i/>
          <w:sz w:val="20"/>
          <w:szCs w:val="20"/>
          <w:u w:val="single"/>
        </w:rPr>
        <w:t>Functie</w:t>
      </w:r>
      <w:r>
        <w:rPr>
          <w:rFonts w:ascii="Verdana" w:hAnsi="Verdana" w:cs="Verdana"/>
          <w:i/>
          <w:sz w:val="20"/>
          <w:szCs w:val="20"/>
          <w:u w:val="single"/>
        </w:rPr>
        <w:t>- en competentie</w:t>
      </w:r>
      <w:r w:rsidRPr="00D72E35">
        <w:rPr>
          <w:rFonts w:ascii="Verdana" w:hAnsi="Verdana" w:cs="Verdana"/>
          <w:i/>
          <w:sz w:val="20"/>
          <w:szCs w:val="20"/>
          <w:u w:val="single"/>
        </w:rPr>
        <w:t>profiel</w:t>
      </w:r>
      <w:r w:rsidRPr="00DF66DC">
        <w:rPr>
          <w:rStyle w:val="Voetnootmarkering"/>
          <w:rFonts w:ascii="Verdana" w:hAnsi="Verdana" w:cs="Verdana"/>
          <w:i/>
          <w:sz w:val="20"/>
          <w:szCs w:val="20"/>
        </w:rPr>
        <w:footnoteReference w:id="2"/>
      </w:r>
    </w:p>
    <w:p w14:paraId="3E16434B" w14:textId="6CC6608C" w:rsidR="00A03027" w:rsidRDefault="00A03027" w:rsidP="00C242C2">
      <w:pPr>
        <w:pStyle w:val="Geenafstand"/>
        <w:spacing w:line="276" w:lineRule="auto"/>
        <w:rPr>
          <w:rFonts w:ascii="Verdana" w:hAnsi="Verdana" w:cs="Verdana"/>
          <w:sz w:val="20"/>
          <w:szCs w:val="20"/>
        </w:rPr>
      </w:pPr>
      <w:r w:rsidRPr="00DF66DC">
        <w:rPr>
          <w:rFonts w:ascii="Verdana" w:hAnsi="Verdana" w:cs="Verdana"/>
          <w:sz w:val="20"/>
          <w:szCs w:val="20"/>
        </w:rPr>
        <w:t xml:space="preserve">Het betreft een generalistische GGZ functie op hbo werk- en denkniveau, binnen de huisartsenvoorziening. De functie is gericht op de ondersteuning, begeleiding, kortdurende behandeling en zo nodig verwijzing van patiënten met psychische, psychosomatische en psychosociale problematiek. Het betreft een functie voor zowel de geprotocolleerde zorg als de (complexere) zorg die een protocol overstijgend denken en handelen vereist. Leidend hierbij zijn de NHG standaarden en richtlijnen voor de huisartsenzorg voor patiënten met psychische, psychosomatische en psychosociale problematiek. Zie de website: https://www.nhg.org/actueel/dossiers/dossier-geestelijke-gezondheidszorg-ggz. </w:t>
      </w:r>
    </w:p>
    <w:p w14:paraId="1172C70F" w14:textId="77777777" w:rsidR="00A03027" w:rsidRPr="00DF66DC" w:rsidRDefault="00A03027" w:rsidP="00C242C2">
      <w:pPr>
        <w:pStyle w:val="Geenafstand"/>
        <w:spacing w:line="276" w:lineRule="auto"/>
        <w:rPr>
          <w:rFonts w:ascii="Verdana" w:hAnsi="Verdana" w:cs="Verdana"/>
          <w:sz w:val="20"/>
          <w:szCs w:val="20"/>
        </w:rPr>
      </w:pPr>
    </w:p>
    <w:p w14:paraId="77207713" w14:textId="13EC56B0" w:rsidR="00A03027" w:rsidRDefault="00A03027" w:rsidP="00C242C2">
      <w:pPr>
        <w:pStyle w:val="Geenafstand"/>
        <w:spacing w:line="276" w:lineRule="auto"/>
      </w:pPr>
      <w:r w:rsidRPr="00DF66DC">
        <w:rPr>
          <w:rFonts w:ascii="Verdana" w:hAnsi="Verdana" w:cs="Verdana"/>
          <w:sz w:val="20"/>
          <w:szCs w:val="20"/>
        </w:rPr>
        <w:t xml:space="preserve">De functie heeft een voor patiënten en voor andere zorgverleners herkenbaar profiel. </w:t>
      </w:r>
      <w:r w:rsidRPr="00DF66DC">
        <w:rPr>
          <w:rFonts w:ascii="Verdana" w:hAnsi="Verdana"/>
          <w:color w:val="000000"/>
          <w:sz w:val="20"/>
          <w:szCs w:val="20"/>
        </w:rPr>
        <w:t xml:space="preserve">De praktijkondersteuner GGZ heeft minimaal een afgeronde voor GGZ relevante HBO- of universitaire opleiding zoals verpleegkundige (B/SPV/HBOV met GGZ uitstroomprofiel, verpleegkundig specialist GGZ), Maatschappelijk werkende, Psycholoog, Sociaal Pedagogisch Hulpverlener, Orthopedagoog, aangevuld </w:t>
      </w:r>
      <w:r w:rsidRPr="00DF66DC">
        <w:rPr>
          <w:rFonts w:ascii="Verdana" w:hAnsi="Verdana"/>
          <w:color w:val="000000"/>
          <w:sz w:val="20"/>
          <w:szCs w:val="20"/>
        </w:rPr>
        <w:lastRenderedPageBreak/>
        <w:t xml:space="preserve">met een afgeronde opleiding POH GGZ. </w:t>
      </w:r>
      <w:r w:rsidRPr="00DF66DC">
        <w:rPr>
          <w:rFonts w:ascii="Verdana" w:hAnsi="Verdana"/>
          <w:sz w:val="20"/>
          <w:szCs w:val="20"/>
        </w:rPr>
        <w:t>De praktijkondersteuner heeft bij voorkeur werkervaring in de GGZ en heeft kennis van psychopathologie. De praktijkondersteuner GGZ is geregistreerd in het kwaliteitsregister van de Landelijke Vereniging POH GGZ.</w:t>
      </w:r>
      <w:r w:rsidRPr="008A197C">
        <w:rPr>
          <w:rFonts w:ascii="Verdana" w:hAnsi="Verdana" w:cs="Verdana"/>
        </w:rPr>
        <w:br/>
      </w:r>
    </w:p>
    <w:p w14:paraId="6C8B8E17" w14:textId="4E89C974" w:rsidR="00B67FF5" w:rsidRPr="0035138B" w:rsidRDefault="0035138B" w:rsidP="00C242C2">
      <w:pPr>
        <w:numPr>
          <w:ilvl w:val="0"/>
          <w:numId w:val="12"/>
        </w:numPr>
        <w:tabs>
          <w:tab w:val="left" w:pos="567"/>
        </w:tabs>
        <w:spacing w:after="0"/>
        <w:ind w:left="709" w:hanging="567"/>
        <w:rPr>
          <w:rFonts w:ascii="Verdana" w:hAnsi="Verdana"/>
          <w:b/>
          <w:i/>
          <w:sz w:val="20"/>
          <w:szCs w:val="20"/>
        </w:rPr>
      </w:pPr>
      <w:r w:rsidRPr="0035138B">
        <w:rPr>
          <w:rFonts w:ascii="Verdana" w:hAnsi="Verdana"/>
          <w:b/>
          <w:i/>
          <w:sz w:val="20"/>
          <w:szCs w:val="20"/>
        </w:rPr>
        <w:t xml:space="preserve">Voorwaarden voor </w:t>
      </w:r>
      <w:r w:rsidR="00B67FF5" w:rsidRPr="0035138B">
        <w:rPr>
          <w:rFonts w:ascii="Verdana" w:hAnsi="Verdana"/>
          <w:b/>
          <w:i/>
          <w:sz w:val="20"/>
          <w:szCs w:val="20"/>
        </w:rPr>
        <w:t>max. 4,5 uur POH GGZ per week per normpraktijk</w:t>
      </w:r>
      <w:r w:rsidR="00A03027">
        <w:rPr>
          <w:rStyle w:val="Voetnootmarkering"/>
          <w:rFonts w:ascii="Verdana" w:hAnsi="Verdana"/>
          <w:b/>
          <w:i/>
          <w:sz w:val="20"/>
          <w:szCs w:val="20"/>
        </w:rPr>
        <w:footnoteReference w:id="3"/>
      </w:r>
      <w:r w:rsidR="00B67FF5" w:rsidRPr="0035138B">
        <w:rPr>
          <w:rFonts w:ascii="Verdana" w:hAnsi="Verdana"/>
          <w:b/>
          <w:i/>
          <w:sz w:val="20"/>
          <w:szCs w:val="20"/>
        </w:rPr>
        <w:t>:</w:t>
      </w:r>
    </w:p>
    <w:p w14:paraId="40D6FCB8" w14:textId="1A4EF7B9" w:rsidR="00B67FF5" w:rsidRPr="00456249" w:rsidRDefault="00B67FF5" w:rsidP="00C242C2">
      <w:pPr>
        <w:pStyle w:val="Default"/>
        <w:numPr>
          <w:ilvl w:val="0"/>
          <w:numId w:val="3"/>
        </w:numPr>
        <w:spacing w:line="276" w:lineRule="auto"/>
        <w:rPr>
          <w:sz w:val="20"/>
          <w:szCs w:val="20"/>
        </w:rPr>
      </w:pPr>
      <w:r w:rsidRPr="00456249">
        <w:rPr>
          <w:sz w:val="20"/>
          <w:szCs w:val="20"/>
        </w:rPr>
        <w:t>Er is een individuele Zorgovereenkoms</w:t>
      </w:r>
      <w:r>
        <w:rPr>
          <w:sz w:val="20"/>
          <w:szCs w:val="20"/>
        </w:rPr>
        <w:t xml:space="preserve">t vrijgevestigde huisartsen </w:t>
      </w:r>
      <w:r w:rsidR="00E13D67">
        <w:rPr>
          <w:sz w:val="20"/>
          <w:szCs w:val="20"/>
        </w:rPr>
        <w:t>202</w:t>
      </w:r>
      <w:r w:rsidR="003272AA">
        <w:rPr>
          <w:sz w:val="20"/>
          <w:szCs w:val="20"/>
        </w:rPr>
        <w:t>2</w:t>
      </w:r>
      <w:r w:rsidR="00E13D67">
        <w:rPr>
          <w:sz w:val="20"/>
          <w:szCs w:val="20"/>
        </w:rPr>
        <w:t xml:space="preserve"> en 202</w:t>
      </w:r>
      <w:r w:rsidR="003272AA">
        <w:rPr>
          <w:sz w:val="20"/>
          <w:szCs w:val="20"/>
        </w:rPr>
        <w:t>3</w:t>
      </w:r>
      <w:r w:rsidRPr="00456249">
        <w:rPr>
          <w:sz w:val="20"/>
          <w:szCs w:val="20"/>
        </w:rPr>
        <w:t xml:space="preserve"> met de Zorgverzekeraar afgesloten. </w:t>
      </w:r>
    </w:p>
    <w:p w14:paraId="12A9FC22" w14:textId="77777777" w:rsidR="00B67FF5" w:rsidRPr="00456249" w:rsidRDefault="00B67FF5" w:rsidP="00C242C2">
      <w:pPr>
        <w:pStyle w:val="Default"/>
        <w:numPr>
          <w:ilvl w:val="0"/>
          <w:numId w:val="3"/>
        </w:numPr>
        <w:spacing w:line="276" w:lineRule="auto"/>
        <w:rPr>
          <w:sz w:val="20"/>
          <w:szCs w:val="20"/>
        </w:rPr>
      </w:pPr>
      <w:r w:rsidRPr="00456249">
        <w:rPr>
          <w:sz w:val="20"/>
          <w:szCs w:val="20"/>
        </w:rPr>
        <w:t xml:space="preserve">Bij een eerste aanvraag en wijziging van het aantal in te zetten uren, wordt de aanvraagprocedure volledig gevolgd. </w:t>
      </w:r>
    </w:p>
    <w:p w14:paraId="1E3A5D4D" w14:textId="26204F18" w:rsidR="00B67FF5" w:rsidRDefault="00B67FF5" w:rsidP="00C242C2">
      <w:pPr>
        <w:pStyle w:val="Default"/>
        <w:numPr>
          <w:ilvl w:val="0"/>
          <w:numId w:val="3"/>
        </w:numPr>
        <w:spacing w:line="276" w:lineRule="auto"/>
        <w:rPr>
          <w:sz w:val="20"/>
          <w:szCs w:val="20"/>
        </w:rPr>
      </w:pPr>
      <w:r w:rsidRPr="00456249">
        <w:rPr>
          <w:sz w:val="20"/>
          <w:szCs w:val="20"/>
        </w:rPr>
        <w:t xml:space="preserve">Bij een eerste aanvraag wordt uitgegaan van maximaal 4,5 uur inzet POH GGZ per week per normpraktijk. </w:t>
      </w:r>
    </w:p>
    <w:p w14:paraId="40871047" w14:textId="3B08B2E5" w:rsidR="001A18A8" w:rsidRPr="00E13D67" w:rsidRDefault="001A18A8" w:rsidP="00C242C2">
      <w:pPr>
        <w:pStyle w:val="Default"/>
        <w:numPr>
          <w:ilvl w:val="0"/>
          <w:numId w:val="3"/>
        </w:numPr>
        <w:spacing w:line="276" w:lineRule="auto"/>
        <w:rPr>
          <w:sz w:val="20"/>
          <w:szCs w:val="20"/>
        </w:rPr>
      </w:pPr>
      <w:r>
        <w:rPr>
          <w:sz w:val="20"/>
          <w:szCs w:val="20"/>
        </w:rPr>
        <w:t>De POH GGZ voldoet aan het f</w:t>
      </w:r>
      <w:r w:rsidRPr="001A18A8">
        <w:rPr>
          <w:sz w:val="20"/>
          <w:szCs w:val="20"/>
        </w:rPr>
        <w:t>unctie- en competentieprofiel ‘Praktijkondersteuner huisarts GGZ’ 2020</w:t>
      </w:r>
      <w:r>
        <w:rPr>
          <w:sz w:val="20"/>
          <w:szCs w:val="20"/>
        </w:rPr>
        <w:t xml:space="preserve"> (v</w:t>
      </w:r>
      <w:r w:rsidRPr="001A18A8">
        <w:rPr>
          <w:sz w:val="20"/>
          <w:szCs w:val="20"/>
        </w:rPr>
        <w:t>ersie 1.0</w:t>
      </w:r>
      <w:r>
        <w:rPr>
          <w:sz w:val="20"/>
          <w:szCs w:val="20"/>
        </w:rPr>
        <w:t>)</w:t>
      </w:r>
      <w:r w:rsidR="00094C09">
        <w:rPr>
          <w:sz w:val="20"/>
          <w:szCs w:val="20"/>
        </w:rPr>
        <w:t>.</w:t>
      </w:r>
    </w:p>
    <w:p w14:paraId="59EDB40F" w14:textId="5F6E1DA5" w:rsidR="00A538C7" w:rsidRDefault="00A03027" w:rsidP="00C242C2">
      <w:pPr>
        <w:pStyle w:val="Default"/>
        <w:numPr>
          <w:ilvl w:val="0"/>
          <w:numId w:val="3"/>
        </w:numPr>
        <w:suppressAutoHyphens/>
        <w:autoSpaceDN/>
        <w:adjustRightInd/>
        <w:spacing w:line="276" w:lineRule="auto"/>
        <w:rPr>
          <w:sz w:val="20"/>
          <w:szCs w:val="20"/>
        </w:rPr>
      </w:pPr>
      <w:r w:rsidRPr="00E45193">
        <w:rPr>
          <w:sz w:val="20"/>
          <w:szCs w:val="20"/>
        </w:rPr>
        <w:t>Desgevraagd</w:t>
      </w:r>
      <w:r>
        <w:rPr>
          <w:sz w:val="20"/>
          <w:szCs w:val="20"/>
        </w:rPr>
        <w:t xml:space="preserve"> zal de Zorgaanbieder </w:t>
      </w:r>
      <w:r w:rsidRPr="00CF4680">
        <w:rPr>
          <w:sz w:val="20"/>
          <w:szCs w:val="20"/>
        </w:rPr>
        <w:t xml:space="preserve">het POH-GGZ evaluatieformulier volledig ingevuld </w:t>
      </w:r>
      <w:r>
        <w:rPr>
          <w:sz w:val="20"/>
          <w:szCs w:val="20"/>
        </w:rPr>
        <w:t>r</w:t>
      </w:r>
      <w:r w:rsidRPr="00CF4680">
        <w:rPr>
          <w:sz w:val="20"/>
          <w:szCs w:val="20"/>
        </w:rPr>
        <w:t>etourne</w:t>
      </w:r>
      <w:r>
        <w:rPr>
          <w:sz w:val="20"/>
          <w:szCs w:val="20"/>
        </w:rPr>
        <w:t>ren</w:t>
      </w:r>
      <w:r w:rsidRPr="00CF4680">
        <w:rPr>
          <w:sz w:val="20"/>
          <w:szCs w:val="20"/>
        </w:rPr>
        <w:t xml:space="preserve"> aan de Zorgverzekeraar inclusief de gevraagde bijlage(n). Naast een evaluatie van de taken en werkzaamheden van de POH-GGZ omvat de evaluatie ook een financiële verantwoording. </w:t>
      </w:r>
    </w:p>
    <w:p w14:paraId="0F217ABE" w14:textId="093E1EDC" w:rsidR="00B67FF5" w:rsidRDefault="00B67FF5" w:rsidP="00C242C2">
      <w:pPr>
        <w:pStyle w:val="Default"/>
        <w:suppressAutoHyphens/>
        <w:spacing w:line="276" w:lineRule="auto"/>
        <w:rPr>
          <w:sz w:val="20"/>
          <w:szCs w:val="20"/>
        </w:rPr>
      </w:pPr>
    </w:p>
    <w:p w14:paraId="126E95F4" w14:textId="469E6C26" w:rsidR="00B67FF5" w:rsidRPr="00B67FF5" w:rsidRDefault="0035138B" w:rsidP="00C242C2">
      <w:pPr>
        <w:numPr>
          <w:ilvl w:val="0"/>
          <w:numId w:val="12"/>
        </w:numPr>
        <w:spacing w:after="0"/>
        <w:ind w:left="567" w:hanging="283"/>
        <w:rPr>
          <w:rFonts w:ascii="Verdana" w:hAnsi="Verdana"/>
          <w:b/>
          <w:i/>
          <w:sz w:val="20"/>
          <w:szCs w:val="20"/>
        </w:rPr>
      </w:pPr>
      <w:r>
        <w:rPr>
          <w:rFonts w:ascii="Verdana" w:hAnsi="Verdana"/>
          <w:b/>
          <w:i/>
          <w:sz w:val="20"/>
          <w:szCs w:val="20"/>
        </w:rPr>
        <w:t>Voorwaarden voor m</w:t>
      </w:r>
      <w:r w:rsidR="00B67FF5" w:rsidRPr="00B67FF5">
        <w:rPr>
          <w:rFonts w:ascii="Verdana" w:hAnsi="Verdana"/>
          <w:b/>
          <w:i/>
          <w:sz w:val="20"/>
          <w:szCs w:val="20"/>
        </w:rPr>
        <w:t>ax. 12 uur POH GGZ per week per normpraktijk</w:t>
      </w:r>
      <w:r w:rsidR="00A03027">
        <w:rPr>
          <w:rStyle w:val="Voetnootmarkering"/>
          <w:rFonts w:ascii="Verdana" w:hAnsi="Verdana"/>
          <w:b/>
          <w:i/>
          <w:sz w:val="20"/>
          <w:szCs w:val="20"/>
        </w:rPr>
        <w:footnoteReference w:id="4"/>
      </w:r>
      <w:r w:rsidR="00B67FF5" w:rsidRPr="00B67FF5">
        <w:rPr>
          <w:rFonts w:ascii="Verdana" w:hAnsi="Verdana"/>
          <w:b/>
          <w:i/>
          <w:sz w:val="20"/>
          <w:szCs w:val="20"/>
        </w:rPr>
        <w:t>:</w:t>
      </w:r>
    </w:p>
    <w:p w14:paraId="377B7DB2" w14:textId="77777777" w:rsidR="00B67FF5" w:rsidRPr="00DF66DC" w:rsidRDefault="00B67FF5" w:rsidP="00C242C2">
      <w:pPr>
        <w:pStyle w:val="Default"/>
        <w:spacing w:line="276" w:lineRule="auto"/>
        <w:rPr>
          <w:sz w:val="20"/>
          <w:szCs w:val="20"/>
        </w:rPr>
      </w:pPr>
      <w:r w:rsidRPr="00DF66DC">
        <w:rPr>
          <w:sz w:val="20"/>
          <w:szCs w:val="20"/>
        </w:rPr>
        <w:t xml:space="preserve">Er wordt voldaan aan de voorwaarden </w:t>
      </w:r>
      <w:r w:rsidR="0035138B" w:rsidRPr="00DF66DC">
        <w:rPr>
          <w:sz w:val="20"/>
          <w:szCs w:val="20"/>
        </w:rPr>
        <w:t>onder I</w:t>
      </w:r>
      <w:r w:rsidRPr="00DF66DC">
        <w:rPr>
          <w:sz w:val="20"/>
          <w:szCs w:val="20"/>
        </w:rPr>
        <w:t>, plus:</w:t>
      </w:r>
    </w:p>
    <w:p w14:paraId="1791D727" w14:textId="062B4DFC" w:rsidR="00B67FF5" w:rsidRPr="00DF66DC" w:rsidRDefault="00B67FF5" w:rsidP="00C242C2">
      <w:pPr>
        <w:pStyle w:val="Default"/>
        <w:numPr>
          <w:ilvl w:val="0"/>
          <w:numId w:val="4"/>
        </w:numPr>
        <w:spacing w:line="276" w:lineRule="auto"/>
        <w:rPr>
          <w:sz w:val="20"/>
          <w:szCs w:val="20"/>
        </w:rPr>
      </w:pPr>
      <w:r w:rsidRPr="00DF66DC">
        <w:rPr>
          <w:sz w:val="20"/>
          <w:szCs w:val="20"/>
        </w:rPr>
        <w:t xml:space="preserve">Er bestaat (individueel of op grond van een in de regio overeengekomen </w:t>
      </w:r>
      <w:r w:rsidR="003272AA" w:rsidRPr="003272AA">
        <w:rPr>
          <w:sz w:val="20"/>
          <w:szCs w:val="20"/>
        </w:rPr>
        <w:t xml:space="preserve">Regionaal Transmurale Afspraak </w:t>
      </w:r>
      <w:r w:rsidR="003272AA">
        <w:rPr>
          <w:sz w:val="20"/>
          <w:szCs w:val="20"/>
        </w:rPr>
        <w:t>(</w:t>
      </w:r>
      <w:r w:rsidRPr="00DF66DC">
        <w:rPr>
          <w:sz w:val="20"/>
          <w:szCs w:val="20"/>
        </w:rPr>
        <w:t>RTA)</w:t>
      </w:r>
      <w:r w:rsidR="003272AA">
        <w:rPr>
          <w:sz w:val="20"/>
          <w:szCs w:val="20"/>
        </w:rPr>
        <w:t>)</w:t>
      </w:r>
      <w:r w:rsidRPr="00DF66DC">
        <w:rPr>
          <w:sz w:val="20"/>
          <w:szCs w:val="20"/>
        </w:rPr>
        <w:t xml:space="preserve"> een structurele samenwerkingsafspraak tussen de huisartsenpraktijk, de POH GGZ en andere zorgverleners uit de eerstelijns GGZ, onder wie tenminste het wijkteam en de Generalistische Basis GGZ</w:t>
      </w:r>
      <w:r w:rsidR="00A538C7" w:rsidRPr="00DF66DC">
        <w:rPr>
          <w:sz w:val="20"/>
          <w:szCs w:val="20"/>
        </w:rPr>
        <w:t>.</w:t>
      </w:r>
    </w:p>
    <w:p w14:paraId="50F7C391" w14:textId="6C66559E" w:rsidR="00B67FF5" w:rsidRPr="00DF66DC" w:rsidRDefault="00B67FF5" w:rsidP="00C242C2">
      <w:pPr>
        <w:pStyle w:val="Default"/>
        <w:numPr>
          <w:ilvl w:val="0"/>
          <w:numId w:val="4"/>
        </w:numPr>
        <w:spacing w:line="276" w:lineRule="auto"/>
        <w:rPr>
          <w:sz w:val="20"/>
          <w:szCs w:val="20"/>
        </w:rPr>
      </w:pPr>
      <w:r w:rsidRPr="00DF66DC">
        <w:rPr>
          <w:sz w:val="20"/>
          <w:szCs w:val="20"/>
        </w:rPr>
        <w:t>Er bestaan structurele afspraken (individueel of op grond van een in de regio overeengekomen RTA)</w:t>
      </w:r>
      <w:r w:rsidR="0035138B" w:rsidRPr="00DF66DC">
        <w:rPr>
          <w:sz w:val="20"/>
          <w:szCs w:val="20"/>
        </w:rPr>
        <w:t xml:space="preserve"> </w:t>
      </w:r>
      <w:r w:rsidRPr="00DF66DC">
        <w:rPr>
          <w:sz w:val="20"/>
          <w:szCs w:val="20"/>
        </w:rPr>
        <w:t xml:space="preserve">over verwijzing en </w:t>
      </w:r>
      <w:proofErr w:type="spellStart"/>
      <w:r w:rsidRPr="00DF66DC">
        <w:rPr>
          <w:sz w:val="20"/>
          <w:szCs w:val="20"/>
        </w:rPr>
        <w:t>terugverwijzing</w:t>
      </w:r>
      <w:proofErr w:type="spellEnd"/>
      <w:r w:rsidRPr="00DF66DC">
        <w:rPr>
          <w:sz w:val="20"/>
          <w:szCs w:val="20"/>
        </w:rPr>
        <w:t xml:space="preserve"> met aanbieders in de generalistische basis GGZ en de specialistische GGZ.</w:t>
      </w:r>
    </w:p>
    <w:p w14:paraId="666BBD5C" w14:textId="6C371B4A" w:rsidR="00FC6E32" w:rsidRDefault="00B67FF5" w:rsidP="00C242C2">
      <w:pPr>
        <w:pStyle w:val="Default"/>
        <w:numPr>
          <w:ilvl w:val="0"/>
          <w:numId w:val="4"/>
        </w:numPr>
        <w:spacing w:line="276" w:lineRule="auto"/>
        <w:rPr>
          <w:sz w:val="20"/>
          <w:szCs w:val="20"/>
        </w:rPr>
      </w:pPr>
      <w:r w:rsidRPr="00DF66DC">
        <w:rPr>
          <w:sz w:val="20"/>
          <w:szCs w:val="20"/>
        </w:rPr>
        <w:t xml:space="preserve">De </w:t>
      </w:r>
      <w:r w:rsidR="00FC6E32">
        <w:rPr>
          <w:sz w:val="20"/>
          <w:szCs w:val="20"/>
        </w:rPr>
        <w:t xml:space="preserve">praktijk maakt gebruik </w:t>
      </w:r>
      <w:r w:rsidR="001A18A8">
        <w:rPr>
          <w:sz w:val="20"/>
          <w:szCs w:val="20"/>
        </w:rPr>
        <w:t xml:space="preserve">van </w:t>
      </w:r>
      <w:proofErr w:type="spellStart"/>
      <w:r w:rsidR="00FC6E32">
        <w:rPr>
          <w:sz w:val="20"/>
          <w:szCs w:val="20"/>
        </w:rPr>
        <w:t>e-health</w:t>
      </w:r>
      <w:proofErr w:type="spellEnd"/>
      <w:r w:rsidR="00FC6E32">
        <w:rPr>
          <w:sz w:val="20"/>
          <w:szCs w:val="20"/>
        </w:rPr>
        <w:t xml:space="preserve"> programma’s als onderdeel van de behandeling van </w:t>
      </w:r>
      <w:r w:rsidR="00FC6E32" w:rsidRPr="00DF66DC">
        <w:rPr>
          <w:sz w:val="20"/>
          <w:szCs w:val="20"/>
        </w:rPr>
        <w:t>patiënten</w:t>
      </w:r>
      <w:r w:rsidR="00FC6E32">
        <w:rPr>
          <w:sz w:val="20"/>
          <w:szCs w:val="20"/>
        </w:rPr>
        <w:t xml:space="preserve"> door de POH GGZ</w:t>
      </w:r>
      <w:r w:rsidR="0035138B" w:rsidRPr="00DF66DC">
        <w:rPr>
          <w:sz w:val="20"/>
          <w:szCs w:val="20"/>
        </w:rPr>
        <w:t>.</w:t>
      </w:r>
      <w:r w:rsidRPr="00DF66DC">
        <w:rPr>
          <w:sz w:val="20"/>
          <w:szCs w:val="20"/>
        </w:rPr>
        <w:t xml:space="preserve"> </w:t>
      </w:r>
    </w:p>
    <w:p w14:paraId="706DF9EC" w14:textId="6AF4ABCE" w:rsidR="00B67FF5" w:rsidRPr="00FC6E32" w:rsidRDefault="00B67FF5" w:rsidP="00C242C2">
      <w:pPr>
        <w:pStyle w:val="Default"/>
        <w:numPr>
          <w:ilvl w:val="0"/>
          <w:numId w:val="4"/>
        </w:numPr>
        <w:spacing w:line="276" w:lineRule="auto"/>
        <w:rPr>
          <w:sz w:val="20"/>
          <w:szCs w:val="20"/>
        </w:rPr>
      </w:pPr>
      <w:r w:rsidRPr="00FC6E32">
        <w:rPr>
          <w:sz w:val="20"/>
          <w:szCs w:val="20"/>
        </w:rPr>
        <w:t xml:space="preserve">De POH GGZ heeft naast de basistaken </w:t>
      </w:r>
      <w:r w:rsidR="00FC6E32">
        <w:rPr>
          <w:sz w:val="20"/>
          <w:szCs w:val="20"/>
        </w:rPr>
        <w:t>de taak</w:t>
      </w:r>
      <w:r w:rsidRPr="00FC6E32">
        <w:rPr>
          <w:sz w:val="20"/>
          <w:szCs w:val="20"/>
        </w:rPr>
        <w:t xml:space="preserve"> stabiele patiënten met chronische GGZ stoornissen</w:t>
      </w:r>
      <w:r w:rsidR="00FC6E32">
        <w:rPr>
          <w:sz w:val="20"/>
          <w:szCs w:val="20"/>
        </w:rPr>
        <w:t xml:space="preserve"> te begeleiden</w:t>
      </w:r>
      <w:r w:rsidRPr="00FC6E32">
        <w:rPr>
          <w:sz w:val="20"/>
          <w:szCs w:val="20"/>
        </w:rPr>
        <w:t>, conform de regionale afspraken</w:t>
      </w:r>
      <w:r w:rsidR="0035138B" w:rsidRPr="00FC6E32">
        <w:rPr>
          <w:sz w:val="20"/>
          <w:szCs w:val="20"/>
        </w:rPr>
        <w:t>.</w:t>
      </w:r>
    </w:p>
    <w:p w14:paraId="2DD91744" w14:textId="0A678507" w:rsidR="00FC6E32" w:rsidRDefault="00FC6E32" w:rsidP="00C242C2">
      <w:pPr>
        <w:spacing w:after="0"/>
        <w:rPr>
          <w:rFonts w:ascii="Verdana" w:hAnsi="Verdana"/>
          <w:i/>
          <w:sz w:val="20"/>
          <w:szCs w:val="20"/>
        </w:rPr>
      </w:pPr>
    </w:p>
    <w:p w14:paraId="4619CA05" w14:textId="24401EC4" w:rsidR="00B67FF5" w:rsidRPr="00B67FF5" w:rsidRDefault="0035138B" w:rsidP="00C242C2">
      <w:pPr>
        <w:numPr>
          <w:ilvl w:val="0"/>
          <w:numId w:val="12"/>
        </w:numPr>
        <w:spacing w:after="0"/>
        <w:ind w:left="567" w:hanging="141"/>
        <w:rPr>
          <w:rFonts w:ascii="Verdana" w:hAnsi="Verdana"/>
          <w:b/>
          <w:i/>
          <w:sz w:val="20"/>
          <w:szCs w:val="20"/>
        </w:rPr>
      </w:pPr>
      <w:bookmarkStart w:id="1" w:name="_Hlk82425196"/>
      <w:r>
        <w:rPr>
          <w:rFonts w:ascii="Verdana" w:hAnsi="Verdana"/>
          <w:b/>
          <w:i/>
          <w:sz w:val="20"/>
          <w:szCs w:val="20"/>
        </w:rPr>
        <w:t xml:space="preserve">Voorwaarden voor inzet </w:t>
      </w:r>
      <w:r w:rsidR="00B67FF5" w:rsidRPr="00B67FF5">
        <w:rPr>
          <w:rFonts w:ascii="Verdana" w:hAnsi="Verdana"/>
          <w:b/>
          <w:i/>
          <w:sz w:val="20"/>
          <w:szCs w:val="20"/>
        </w:rPr>
        <w:t>tussen de 12 en 36 uur POH GGZ per week per normpraktijk</w:t>
      </w:r>
      <w:r w:rsidR="0053793E">
        <w:rPr>
          <w:rStyle w:val="Voetnootmarkering"/>
          <w:rFonts w:ascii="Verdana" w:hAnsi="Verdana"/>
          <w:b/>
          <w:i/>
          <w:sz w:val="20"/>
          <w:szCs w:val="20"/>
        </w:rPr>
        <w:footnoteReference w:id="5"/>
      </w:r>
      <w:r w:rsidR="00B67FF5" w:rsidRPr="00B67FF5">
        <w:rPr>
          <w:rFonts w:ascii="Verdana" w:hAnsi="Verdana"/>
          <w:b/>
          <w:i/>
          <w:sz w:val="20"/>
          <w:szCs w:val="20"/>
        </w:rPr>
        <w:t>:</w:t>
      </w:r>
    </w:p>
    <w:p w14:paraId="6668023F" w14:textId="77777777" w:rsidR="00B67FF5" w:rsidRPr="00DF66DC" w:rsidRDefault="00B67FF5" w:rsidP="00C242C2">
      <w:pPr>
        <w:pStyle w:val="Default"/>
        <w:spacing w:line="276" w:lineRule="auto"/>
        <w:rPr>
          <w:sz w:val="20"/>
          <w:szCs w:val="20"/>
        </w:rPr>
      </w:pPr>
      <w:r w:rsidRPr="00DF66DC">
        <w:rPr>
          <w:sz w:val="20"/>
          <w:szCs w:val="20"/>
        </w:rPr>
        <w:t xml:space="preserve">Er wordt voldaan aan de voorwaarden </w:t>
      </w:r>
      <w:r w:rsidR="0035138B" w:rsidRPr="00DF66DC">
        <w:rPr>
          <w:sz w:val="20"/>
          <w:szCs w:val="20"/>
        </w:rPr>
        <w:t>zoals vermeld onder I en II</w:t>
      </w:r>
      <w:r w:rsidRPr="00DF66DC">
        <w:rPr>
          <w:sz w:val="20"/>
          <w:szCs w:val="20"/>
        </w:rPr>
        <w:t>, plus:</w:t>
      </w:r>
    </w:p>
    <w:p w14:paraId="3F2B2253" w14:textId="77777777" w:rsidR="00B67FF5" w:rsidRPr="00DF66DC" w:rsidRDefault="0035138B" w:rsidP="00C242C2">
      <w:pPr>
        <w:pStyle w:val="Default"/>
        <w:numPr>
          <w:ilvl w:val="0"/>
          <w:numId w:val="5"/>
        </w:numPr>
        <w:spacing w:line="276" w:lineRule="auto"/>
        <w:rPr>
          <w:sz w:val="20"/>
          <w:szCs w:val="20"/>
        </w:rPr>
      </w:pPr>
      <w:r w:rsidRPr="00DF66DC">
        <w:rPr>
          <w:sz w:val="20"/>
          <w:szCs w:val="20"/>
        </w:rPr>
        <w:t xml:space="preserve">De </w:t>
      </w:r>
      <w:r w:rsidR="00B67FF5" w:rsidRPr="00DF66DC">
        <w:rPr>
          <w:sz w:val="20"/>
          <w:szCs w:val="20"/>
        </w:rPr>
        <w:t>Huisarts</w:t>
      </w:r>
      <w:r w:rsidRPr="00DF66DC">
        <w:rPr>
          <w:sz w:val="20"/>
          <w:szCs w:val="20"/>
        </w:rPr>
        <w:t xml:space="preserve"> </w:t>
      </w:r>
      <w:r w:rsidR="00C8785D" w:rsidRPr="00DF66DC">
        <w:rPr>
          <w:sz w:val="20"/>
          <w:szCs w:val="20"/>
        </w:rPr>
        <w:t xml:space="preserve">volgt jaarlijks </w:t>
      </w:r>
      <w:r w:rsidR="00B67FF5" w:rsidRPr="00DF66DC">
        <w:rPr>
          <w:sz w:val="20"/>
          <w:szCs w:val="20"/>
        </w:rPr>
        <w:t xml:space="preserve">aantoonbaar </w:t>
      </w:r>
      <w:r w:rsidR="00A82FB9" w:rsidRPr="00DF66DC">
        <w:rPr>
          <w:sz w:val="20"/>
          <w:szCs w:val="20"/>
        </w:rPr>
        <w:t>geaccrediteerde bij- en nascholing op het gebied van GGZ-stoornissen.</w:t>
      </w:r>
    </w:p>
    <w:p w14:paraId="74D09228" w14:textId="77777777" w:rsidR="00B67FF5" w:rsidRPr="00DF66DC" w:rsidRDefault="0035138B" w:rsidP="00C242C2">
      <w:pPr>
        <w:pStyle w:val="Default"/>
        <w:numPr>
          <w:ilvl w:val="0"/>
          <w:numId w:val="5"/>
        </w:numPr>
        <w:spacing w:line="276" w:lineRule="auto"/>
        <w:rPr>
          <w:sz w:val="20"/>
          <w:szCs w:val="20"/>
        </w:rPr>
      </w:pPr>
      <w:r w:rsidRPr="00DF66DC">
        <w:rPr>
          <w:sz w:val="20"/>
          <w:szCs w:val="20"/>
        </w:rPr>
        <w:t xml:space="preserve">De </w:t>
      </w:r>
      <w:r w:rsidR="00B67FF5" w:rsidRPr="00DF66DC">
        <w:rPr>
          <w:sz w:val="20"/>
          <w:szCs w:val="20"/>
        </w:rPr>
        <w:t>POH GGZ</w:t>
      </w:r>
      <w:r w:rsidRPr="00DF66DC">
        <w:rPr>
          <w:sz w:val="20"/>
          <w:szCs w:val="20"/>
        </w:rPr>
        <w:t xml:space="preserve"> moet m</w:t>
      </w:r>
      <w:r w:rsidR="00B67FF5" w:rsidRPr="00DF66DC">
        <w:rPr>
          <w:sz w:val="20"/>
          <w:szCs w:val="20"/>
        </w:rPr>
        <w:t xml:space="preserve">inimaal vijf jaar ervaring </w:t>
      </w:r>
      <w:r w:rsidRPr="00DF66DC">
        <w:rPr>
          <w:sz w:val="20"/>
          <w:szCs w:val="20"/>
        </w:rPr>
        <w:t xml:space="preserve">hebben </w:t>
      </w:r>
      <w:r w:rsidR="00B67FF5" w:rsidRPr="00DF66DC">
        <w:rPr>
          <w:sz w:val="20"/>
          <w:szCs w:val="20"/>
        </w:rPr>
        <w:t>in de GGZ, waarvan minimaal twee jaar als POH GGZ</w:t>
      </w:r>
      <w:r w:rsidRPr="00DF66DC">
        <w:rPr>
          <w:sz w:val="20"/>
          <w:szCs w:val="20"/>
        </w:rPr>
        <w:t>.</w:t>
      </w:r>
      <w:r w:rsidR="00B67FF5" w:rsidRPr="00DF66DC">
        <w:rPr>
          <w:sz w:val="20"/>
          <w:szCs w:val="20"/>
        </w:rPr>
        <w:t xml:space="preserve"> </w:t>
      </w:r>
    </w:p>
    <w:p w14:paraId="0083F7BB" w14:textId="77777777" w:rsidR="00E54D59" w:rsidRPr="00DF66DC" w:rsidRDefault="00E54D59" w:rsidP="00C242C2">
      <w:pPr>
        <w:pStyle w:val="Geenafstand"/>
        <w:numPr>
          <w:ilvl w:val="0"/>
          <w:numId w:val="5"/>
        </w:numPr>
        <w:spacing w:line="276" w:lineRule="auto"/>
        <w:rPr>
          <w:rFonts w:ascii="Verdana" w:hAnsi="Verdana"/>
          <w:sz w:val="20"/>
          <w:szCs w:val="20"/>
        </w:rPr>
      </w:pPr>
      <w:r w:rsidRPr="00DF66DC">
        <w:rPr>
          <w:rFonts w:ascii="Verdana" w:hAnsi="Verdana"/>
          <w:sz w:val="20"/>
          <w:szCs w:val="20"/>
        </w:rPr>
        <w:t xml:space="preserve">De POH-GGZ heeft minimaal 12 uur </w:t>
      </w:r>
      <w:r w:rsidR="00C8785D" w:rsidRPr="00DF66DC">
        <w:rPr>
          <w:rFonts w:ascii="Verdana" w:hAnsi="Verdana"/>
          <w:sz w:val="20"/>
          <w:szCs w:val="20"/>
        </w:rPr>
        <w:t xml:space="preserve">per jaar </w:t>
      </w:r>
      <w:r w:rsidRPr="00DF66DC">
        <w:rPr>
          <w:rFonts w:ascii="Verdana" w:hAnsi="Verdana"/>
          <w:sz w:val="20"/>
          <w:szCs w:val="20"/>
        </w:rPr>
        <w:t xml:space="preserve">intervisie </w:t>
      </w:r>
    </w:p>
    <w:p w14:paraId="61C36353" w14:textId="77777777" w:rsidR="00E54D59" w:rsidRPr="00DF66DC" w:rsidRDefault="00E54D59" w:rsidP="00C242C2">
      <w:pPr>
        <w:pStyle w:val="Geenafstand"/>
        <w:numPr>
          <w:ilvl w:val="0"/>
          <w:numId w:val="5"/>
        </w:numPr>
        <w:spacing w:line="276" w:lineRule="auto"/>
        <w:rPr>
          <w:rFonts w:ascii="Verdana" w:hAnsi="Verdana"/>
          <w:sz w:val="20"/>
          <w:szCs w:val="20"/>
        </w:rPr>
      </w:pPr>
      <w:r w:rsidRPr="00DF66DC">
        <w:rPr>
          <w:rFonts w:ascii="Verdana" w:hAnsi="Verdana"/>
          <w:sz w:val="20"/>
          <w:szCs w:val="20"/>
        </w:rPr>
        <w:t xml:space="preserve">De POH-GGZ volgt voor minimaal 8 uur </w:t>
      </w:r>
      <w:r w:rsidR="00C8785D" w:rsidRPr="00DF66DC">
        <w:rPr>
          <w:rFonts w:ascii="Verdana" w:hAnsi="Verdana"/>
          <w:sz w:val="20"/>
          <w:szCs w:val="20"/>
        </w:rPr>
        <w:t xml:space="preserve">per jaar </w:t>
      </w:r>
      <w:r w:rsidRPr="00DF66DC">
        <w:rPr>
          <w:rFonts w:ascii="Verdana" w:hAnsi="Verdana"/>
          <w:sz w:val="20"/>
          <w:szCs w:val="20"/>
        </w:rPr>
        <w:t>geaccrediteerde nascholingen</w:t>
      </w:r>
    </w:p>
    <w:p w14:paraId="1FC64F4E" w14:textId="77777777" w:rsidR="00E54D59" w:rsidRPr="00DF66DC" w:rsidRDefault="00E54D59" w:rsidP="00C242C2">
      <w:pPr>
        <w:pStyle w:val="Geenafstand"/>
        <w:numPr>
          <w:ilvl w:val="0"/>
          <w:numId w:val="5"/>
        </w:numPr>
        <w:spacing w:line="276" w:lineRule="auto"/>
        <w:rPr>
          <w:rFonts w:ascii="Verdana" w:hAnsi="Verdana"/>
          <w:sz w:val="20"/>
          <w:szCs w:val="20"/>
        </w:rPr>
      </w:pPr>
      <w:r w:rsidRPr="00DF66DC">
        <w:rPr>
          <w:rFonts w:ascii="Verdana" w:hAnsi="Verdana"/>
          <w:sz w:val="20"/>
          <w:szCs w:val="20"/>
        </w:rPr>
        <w:lastRenderedPageBreak/>
        <w:t>De POH-GGZ heeft minimaal 1 x per 2 weken een overleg van minimaal 1 uur met (één van) de huisarts(en).</w:t>
      </w:r>
    </w:p>
    <w:p w14:paraId="15DD34B6" w14:textId="77777777" w:rsidR="00A82FB9" w:rsidRPr="00DF66DC" w:rsidRDefault="00A82FB9" w:rsidP="00C242C2">
      <w:pPr>
        <w:pStyle w:val="Geenafstand"/>
        <w:numPr>
          <w:ilvl w:val="0"/>
          <w:numId w:val="5"/>
        </w:numPr>
        <w:spacing w:line="276" w:lineRule="auto"/>
        <w:rPr>
          <w:rFonts w:ascii="Verdana" w:hAnsi="Verdana"/>
          <w:sz w:val="20"/>
          <w:szCs w:val="20"/>
        </w:rPr>
      </w:pPr>
      <w:r w:rsidRPr="00DF66DC">
        <w:rPr>
          <w:rFonts w:ascii="Verdana" w:hAnsi="Verdana"/>
          <w:sz w:val="20"/>
          <w:szCs w:val="20"/>
        </w:rPr>
        <w:t xml:space="preserve">De POH GGZ maakt aantoonbaar </w:t>
      </w:r>
      <w:r w:rsidR="00670326" w:rsidRPr="00DF66DC">
        <w:rPr>
          <w:rFonts w:ascii="Verdana" w:hAnsi="Verdana"/>
          <w:sz w:val="20"/>
          <w:szCs w:val="20"/>
        </w:rPr>
        <w:t xml:space="preserve">en doelmatig </w:t>
      </w:r>
      <w:r w:rsidRPr="00DF66DC">
        <w:rPr>
          <w:rFonts w:ascii="Verdana" w:hAnsi="Verdana"/>
          <w:sz w:val="20"/>
          <w:szCs w:val="20"/>
        </w:rPr>
        <w:t xml:space="preserve">gebruik van </w:t>
      </w:r>
      <w:r w:rsidR="00670326" w:rsidRPr="00DF66DC">
        <w:rPr>
          <w:rFonts w:ascii="Verdana" w:hAnsi="Verdana"/>
          <w:sz w:val="20"/>
          <w:szCs w:val="20"/>
        </w:rPr>
        <w:t>verwijscriteria naar GBGGZ</w:t>
      </w:r>
      <w:r w:rsidR="00C8785D" w:rsidRPr="00DF66DC">
        <w:rPr>
          <w:rFonts w:ascii="Verdana" w:hAnsi="Verdana"/>
          <w:sz w:val="20"/>
          <w:szCs w:val="20"/>
        </w:rPr>
        <w:t xml:space="preserve">, </w:t>
      </w:r>
      <w:r w:rsidR="00670326" w:rsidRPr="00DF66DC">
        <w:rPr>
          <w:rFonts w:ascii="Verdana" w:hAnsi="Verdana"/>
          <w:sz w:val="20"/>
          <w:szCs w:val="20"/>
        </w:rPr>
        <w:t>SGGZ en welzijnsorganisaties.</w:t>
      </w:r>
    </w:p>
    <w:p w14:paraId="623BE7A2" w14:textId="77777777" w:rsidR="00E54D59" w:rsidRDefault="00E54D59" w:rsidP="00C242C2">
      <w:pPr>
        <w:pStyle w:val="Default"/>
        <w:spacing w:line="276" w:lineRule="auto"/>
        <w:rPr>
          <w:sz w:val="20"/>
          <w:szCs w:val="20"/>
        </w:rPr>
      </w:pPr>
    </w:p>
    <w:p w14:paraId="2F321090" w14:textId="77777777" w:rsidR="00B67FF5" w:rsidRPr="00D55C08" w:rsidRDefault="00B67FF5" w:rsidP="00C242C2">
      <w:pPr>
        <w:pStyle w:val="Default"/>
        <w:spacing w:line="276" w:lineRule="auto"/>
        <w:rPr>
          <w:b/>
          <w:sz w:val="20"/>
          <w:szCs w:val="20"/>
        </w:rPr>
      </w:pPr>
      <w:r w:rsidRPr="00D55C08">
        <w:rPr>
          <w:b/>
          <w:sz w:val="20"/>
          <w:szCs w:val="20"/>
        </w:rPr>
        <w:t>EN</w:t>
      </w:r>
    </w:p>
    <w:p w14:paraId="2EB22E91" w14:textId="77777777" w:rsidR="007D01AA" w:rsidRPr="007D01AA" w:rsidRDefault="00A82FB9" w:rsidP="00C242C2">
      <w:pPr>
        <w:pStyle w:val="Default"/>
        <w:numPr>
          <w:ilvl w:val="0"/>
          <w:numId w:val="5"/>
        </w:numPr>
        <w:spacing w:line="276" w:lineRule="auto"/>
        <w:rPr>
          <w:sz w:val="20"/>
          <w:szCs w:val="20"/>
        </w:rPr>
      </w:pPr>
      <w:r>
        <w:rPr>
          <w:sz w:val="20"/>
          <w:szCs w:val="20"/>
        </w:rPr>
        <w:t>Er is s</w:t>
      </w:r>
      <w:r w:rsidR="007D01AA">
        <w:rPr>
          <w:sz w:val="20"/>
          <w:szCs w:val="20"/>
        </w:rPr>
        <w:t>tructure</w:t>
      </w:r>
      <w:r w:rsidR="00530CA4">
        <w:rPr>
          <w:sz w:val="20"/>
          <w:szCs w:val="20"/>
        </w:rPr>
        <w:t>e</w:t>
      </w:r>
      <w:r w:rsidR="007D01AA">
        <w:rPr>
          <w:sz w:val="20"/>
          <w:szCs w:val="20"/>
        </w:rPr>
        <w:t xml:space="preserve">l </w:t>
      </w:r>
      <w:r>
        <w:rPr>
          <w:sz w:val="20"/>
          <w:szCs w:val="20"/>
        </w:rPr>
        <w:t xml:space="preserve">een </w:t>
      </w:r>
      <w:r w:rsidR="00530CA4">
        <w:rPr>
          <w:sz w:val="20"/>
          <w:szCs w:val="20"/>
        </w:rPr>
        <w:t>grotere</w:t>
      </w:r>
      <w:r w:rsidR="007D01AA">
        <w:rPr>
          <w:sz w:val="20"/>
          <w:szCs w:val="20"/>
        </w:rPr>
        <w:t xml:space="preserve"> vraag </w:t>
      </w:r>
      <w:r w:rsidR="00530CA4">
        <w:rPr>
          <w:sz w:val="20"/>
          <w:szCs w:val="20"/>
        </w:rPr>
        <w:t xml:space="preserve">dan met de beschikbare formatie is te hanteren. Dit dient </w:t>
      </w:r>
      <w:r w:rsidR="007D01AA">
        <w:rPr>
          <w:sz w:val="20"/>
          <w:szCs w:val="20"/>
        </w:rPr>
        <w:t xml:space="preserve">aangetoond </w:t>
      </w:r>
      <w:r w:rsidR="00530CA4">
        <w:rPr>
          <w:sz w:val="20"/>
          <w:szCs w:val="20"/>
        </w:rPr>
        <w:t>te worden door</w:t>
      </w:r>
      <w:r>
        <w:rPr>
          <w:sz w:val="20"/>
          <w:szCs w:val="20"/>
        </w:rPr>
        <w:t xml:space="preserve"> middel van </w:t>
      </w:r>
      <w:r w:rsidR="00530CA4">
        <w:rPr>
          <w:sz w:val="20"/>
          <w:szCs w:val="20"/>
        </w:rPr>
        <w:t xml:space="preserve"> </w:t>
      </w:r>
      <w:r>
        <w:rPr>
          <w:sz w:val="20"/>
          <w:szCs w:val="20"/>
        </w:rPr>
        <w:t xml:space="preserve">een overzicht van </w:t>
      </w:r>
      <w:r w:rsidR="00670326">
        <w:rPr>
          <w:sz w:val="20"/>
          <w:szCs w:val="20"/>
        </w:rPr>
        <w:t xml:space="preserve">de in de praktijk voorkomende GGZ-problematiek; de </w:t>
      </w:r>
      <w:r>
        <w:rPr>
          <w:sz w:val="20"/>
          <w:szCs w:val="20"/>
        </w:rPr>
        <w:t xml:space="preserve">wachttijden; gemiddelde tijdbesteding per patiënt en </w:t>
      </w:r>
      <w:r w:rsidR="00670326">
        <w:rPr>
          <w:sz w:val="20"/>
          <w:szCs w:val="20"/>
        </w:rPr>
        <w:t>de doorstroom naar andere echelons.</w:t>
      </w:r>
    </w:p>
    <w:p w14:paraId="04B14ABE" w14:textId="77777777" w:rsidR="007D01AA" w:rsidRPr="00C8785D" w:rsidRDefault="00C8785D" w:rsidP="00C242C2">
      <w:pPr>
        <w:pStyle w:val="Default"/>
        <w:spacing w:line="276" w:lineRule="auto"/>
        <w:rPr>
          <w:b/>
          <w:sz w:val="20"/>
          <w:szCs w:val="20"/>
        </w:rPr>
      </w:pPr>
      <w:r>
        <w:rPr>
          <w:b/>
          <w:sz w:val="20"/>
          <w:szCs w:val="20"/>
        </w:rPr>
        <w:t>OF</w:t>
      </w:r>
    </w:p>
    <w:p w14:paraId="208D1B3D" w14:textId="77777777" w:rsidR="00B67FF5" w:rsidRPr="00A538C7" w:rsidRDefault="00A82FB9" w:rsidP="00C242C2">
      <w:pPr>
        <w:pStyle w:val="Default"/>
        <w:numPr>
          <w:ilvl w:val="0"/>
          <w:numId w:val="5"/>
        </w:numPr>
        <w:spacing w:line="276" w:lineRule="auto"/>
        <w:rPr>
          <w:b/>
          <w:sz w:val="20"/>
          <w:szCs w:val="20"/>
        </w:rPr>
      </w:pPr>
      <w:r>
        <w:rPr>
          <w:sz w:val="20"/>
          <w:szCs w:val="20"/>
        </w:rPr>
        <w:t>De praktijk heeft een aantoonbaar a</w:t>
      </w:r>
      <w:r w:rsidRPr="00A538C7">
        <w:rPr>
          <w:sz w:val="20"/>
          <w:szCs w:val="20"/>
        </w:rPr>
        <w:t xml:space="preserve">fwijkende </w:t>
      </w:r>
      <w:r w:rsidR="00B67FF5" w:rsidRPr="00A538C7">
        <w:rPr>
          <w:sz w:val="20"/>
          <w:szCs w:val="20"/>
        </w:rPr>
        <w:t>praktijkpopulatie/doelgroep</w:t>
      </w:r>
      <w:r w:rsidR="00DF66DC">
        <w:rPr>
          <w:sz w:val="20"/>
          <w:szCs w:val="20"/>
        </w:rPr>
        <w:t xml:space="preserve"> </w:t>
      </w:r>
      <w:r w:rsidR="00B67FF5" w:rsidRPr="00A538C7">
        <w:rPr>
          <w:sz w:val="20"/>
          <w:szCs w:val="20"/>
        </w:rPr>
        <w:t>(zowel inhoudelijk als in omvang) die specifieke ondersteuning vraagt: bijvoorbeeld RIBW populatie</w:t>
      </w:r>
      <w:r w:rsidR="00C8785D">
        <w:rPr>
          <w:sz w:val="20"/>
          <w:szCs w:val="20"/>
        </w:rPr>
        <w:t xml:space="preserve"> of</w:t>
      </w:r>
      <w:r w:rsidR="00C8785D" w:rsidRPr="00A538C7">
        <w:rPr>
          <w:sz w:val="20"/>
          <w:szCs w:val="20"/>
        </w:rPr>
        <w:t xml:space="preserve"> </w:t>
      </w:r>
      <w:r w:rsidR="00B67FF5" w:rsidRPr="00A538C7">
        <w:rPr>
          <w:sz w:val="20"/>
          <w:szCs w:val="20"/>
        </w:rPr>
        <w:t>vluchtelingen</w:t>
      </w:r>
      <w:r w:rsidR="0035138B" w:rsidRPr="00A538C7">
        <w:rPr>
          <w:sz w:val="20"/>
          <w:szCs w:val="20"/>
        </w:rPr>
        <w:t>.</w:t>
      </w:r>
      <w:r w:rsidR="00B67FF5" w:rsidRPr="00A538C7">
        <w:rPr>
          <w:sz w:val="20"/>
          <w:szCs w:val="20"/>
        </w:rPr>
        <w:t xml:space="preserve"> </w:t>
      </w:r>
      <w:r w:rsidR="007D01AA">
        <w:rPr>
          <w:sz w:val="20"/>
          <w:szCs w:val="20"/>
        </w:rPr>
        <w:t>In dat geval beschik</w:t>
      </w:r>
      <w:r>
        <w:rPr>
          <w:sz w:val="20"/>
          <w:szCs w:val="20"/>
        </w:rPr>
        <w:t>ken zowel</w:t>
      </w:r>
      <w:r w:rsidR="007D01AA">
        <w:rPr>
          <w:sz w:val="20"/>
          <w:szCs w:val="20"/>
        </w:rPr>
        <w:t xml:space="preserve"> de POH-GGZ </w:t>
      </w:r>
      <w:r>
        <w:rPr>
          <w:sz w:val="20"/>
          <w:szCs w:val="20"/>
        </w:rPr>
        <w:t xml:space="preserve">als de huisarts </w:t>
      </w:r>
      <w:r w:rsidR="007D01AA">
        <w:rPr>
          <w:sz w:val="20"/>
          <w:szCs w:val="20"/>
        </w:rPr>
        <w:t>over aanvullende kennis en vaardigheden met betrekking tot de in deze specifieke doelgroep voorkomende stoornissen, bijvoorbeeld PTSS.</w:t>
      </w:r>
    </w:p>
    <w:p w14:paraId="605AC02F" w14:textId="77777777" w:rsidR="00B67FF5" w:rsidRPr="00A538C7" w:rsidRDefault="00B67FF5" w:rsidP="00C242C2">
      <w:pPr>
        <w:pStyle w:val="Default"/>
        <w:spacing w:line="276" w:lineRule="auto"/>
        <w:rPr>
          <w:b/>
          <w:sz w:val="20"/>
          <w:szCs w:val="20"/>
        </w:rPr>
      </w:pPr>
      <w:r w:rsidRPr="00A538C7">
        <w:rPr>
          <w:b/>
          <w:sz w:val="20"/>
          <w:szCs w:val="20"/>
        </w:rPr>
        <w:t>OF</w:t>
      </w:r>
    </w:p>
    <w:p w14:paraId="148BC0CA" w14:textId="77777777" w:rsidR="00B67FF5" w:rsidRPr="00A538C7" w:rsidRDefault="00B67FF5" w:rsidP="00C242C2">
      <w:pPr>
        <w:pStyle w:val="Default"/>
        <w:numPr>
          <w:ilvl w:val="0"/>
          <w:numId w:val="5"/>
        </w:numPr>
        <w:spacing w:line="276" w:lineRule="auto"/>
        <w:rPr>
          <w:b/>
          <w:sz w:val="20"/>
          <w:szCs w:val="20"/>
        </w:rPr>
      </w:pPr>
      <w:r w:rsidRPr="00A538C7">
        <w:rPr>
          <w:sz w:val="20"/>
          <w:szCs w:val="20"/>
        </w:rPr>
        <w:t xml:space="preserve">Substitutie: </w:t>
      </w:r>
      <w:r w:rsidR="00670326">
        <w:rPr>
          <w:sz w:val="20"/>
          <w:szCs w:val="20"/>
        </w:rPr>
        <w:t xml:space="preserve">de praktijk is </w:t>
      </w:r>
      <w:r w:rsidRPr="00A538C7">
        <w:rPr>
          <w:sz w:val="20"/>
          <w:szCs w:val="20"/>
        </w:rPr>
        <w:t xml:space="preserve">structureel </w:t>
      </w:r>
      <w:r w:rsidR="00670326">
        <w:rPr>
          <w:sz w:val="20"/>
          <w:szCs w:val="20"/>
        </w:rPr>
        <w:t xml:space="preserve">betrokken bij een </w:t>
      </w:r>
      <w:r w:rsidR="00C8785D">
        <w:rPr>
          <w:sz w:val="20"/>
          <w:szCs w:val="20"/>
        </w:rPr>
        <w:t>substitutie</w:t>
      </w:r>
      <w:r w:rsidR="00C8785D" w:rsidRPr="00A538C7">
        <w:rPr>
          <w:sz w:val="20"/>
          <w:szCs w:val="20"/>
        </w:rPr>
        <w:t xml:space="preserve">project </w:t>
      </w:r>
      <w:r w:rsidRPr="00A538C7">
        <w:rPr>
          <w:sz w:val="20"/>
          <w:szCs w:val="20"/>
        </w:rPr>
        <w:t xml:space="preserve">i.s.m. specialistische GGZ instelling voor </w:t>
      </w:r>
      <w:r w:rsidR="00670326">
        <w:rPr>
          <w:sz w:val="20"/>
          <w:szCs w:val="20"/>
        </w:rPr>
        <w:t xml:space="preserve">een </w:t>
      </w:r>
      <w:r w:rsidRPr="00A538C7">
        <w:rPr>
          <w:sz w:val="20"/>
          <w:szCs w:val="20"/>
        </w:rPr>
        <w:t>gedefinieerde doelgroep</w:t>
      </w:r>
      <w:r w:rsidR="0035138B" w:rsidRPr="00A538C7">
        <w:rPr>
          <w:sz w:val="20"/>
          <w:szCs w:val="20"/>
        </w:rPr>
        <w:t>.</w:t>
      </w:r>
      <w:r w:rsidR="00A82FB9">
        <w:rPr>
          <w:sz w:val="20"/>
          <w:szCs w:val="20"/>
        </w:rPr>
        <w:t xml:space="preserve"> In dat geval beschikken zowel de POH-GGZ als de huisarts over aanvullende kennis en vaardigheden met betrekking tot de in deze specifieke doelgroep voorkomende stoornissen.</w:t>
      </w:r>
      <w:r w:rsidRPr="00A538C7">
        <w:rPr>
          <w:sz w:val="20"/>
          <w:szCs w:val="20"/>
        </w:rPr>
        <w:t xml:space="preserve"> </w:t>
      </w:r>
    </w:p>
    <w:p w14:paraId="506FC692" w14:textId="77777777" w:rsidR="00B67FF5" w:rsidRPr="00D55C08" w:rsidRDefault="00B67FF5" w:rsidP="00C242C2">
      <w:pPr>
        <w:pStyle w:val="Default"/>
        <w:spacing w:line="276" w:lineRule="auto"/>
        <w:rPr>
          <w:b/>
          <w:sz w:val="20"/>
          <w:szCs w:val="20"/>
        </w:rPr>
      </w:pPr>
      <w:r w:rsidRPr="00D55C08">
        <w:rPr>
          <w:b/>
          <w:sz w:val="20"/>
          <w:szCs w:val="20"/>
        </w:rPr>
        <w:t>OF</w:t>
      </w:r>
    </w:p>
    <w:p w14:paraId="6B21A9ED" w14:textId="77777777" w:rsidR="00B67FF5" w:rsidRDefault="00B67FF5" w:rsidP="00C242C2">
      <w:pPr>
        <w:pStyle w:val="Default"/>
        <w:numPr>
          <w:ilvl w:val="0"/>
          <w:numId w:val="5"/>
        </w:numPr>
        <w:spacing w:line="276" w:lineRule="auto"/>
        <w:rPr>
          <w:sz w:val="20"/>
          <w:szCs w:val="20"/>
        </w:rPr>
      </w:pPr>
      <w:r w:rsidRPr="00456249">
        <w:rPr>
          <w:sz w:val="20"/>
          <w:szCs w:val="20"/>
        </w:rPr>
        <w:t>Tijdelijk extra inzet i.v.m. nazorg na een ernstige gebeurtenis in de wijk met veel slachtoffers, waarbij een substantieel deel van de praktijkpopulatie betrokken is, in samenwerking met deskundigen uit generalistische basis GGZ en/of specialistische GGZ</w:t>
      </w:r>
      <w:r w:rsidR="0035138B">
        <w:rPr>
          <w:sz w:val="20"/>
          <w:szCs w:val="20"/>
        </w:rPr>
        <w:t>.</w:t>
      </w:r>
      <w:r>
        <w:rPr>
          <w:sz w:val="20"/>
          <w:szCs w:val="20"/>
        </w:rPr>
        <w:t xml:space="preserve"> </w:t>
      </w:r>
    </w:p>
    <w:p w14:paraId="0580CF9A" w14:textId="77777777" w:rsidR="00B67FF5" w:rsidRPr="00D55C08" w:rsidRDefault="00B67FF5" w:rsidP="00C242C2">
      <w:pPr>
        <w:pStyle w:val="Default"/>
        <w:spacing w:line="276" w:lineRule="auto"/>
        <w:rPr>
          <w:b/>
          <w:sz w:val="20"/>
          <w:szCs w:val="20"/>
        </w:rPr>
      </w:pPr>
      <w:r w:rsidRPr="00D55C08">
        <w:rPr>
          <w:b/>
          <w:sz w:val="20"/>
          <w:szCs w:val="20"/>
        </w:rPr>
        <w:t>OF</w:t>
      </w:r>
    </w:p>
    <w:p w14:paraId="39A90D01" w14:textId="77777777" w:rsidR="00B67FF5" w:rsidRPr="00456249" w:rsidRDefault="00B67FF5" w:rsidP="00C242C2">
      <w:pPr>
        <w:pStyle w:val="Default"/>
        <w:numPr>
          <w:ilvl w:val="0"/>
          <w:numId w:val="5"/>
        </w:numPr>
        <w:spacing w:line="276" w:lineRule="auto"/>
        <w:rPr>
          <w:sz w:val="20"/>
          <w:szCs w:val="20"/>
        </w:rPr>
      </w:pPr>
      <w:r w:rsidRPr="00456249">
        <w:rPr>
          <w:sz w:val="20"/>
          <w:szCs w:val="20"/>
        </w:rPr>
        <w:t>Er wordt structureel sa</w:t>
      </w:r>
      <w:r w:rsidR="0035138B">
        <w:rPr>
          <w:sz w:val="20"/>
          <w:szCs w:val="20"/>
        </w:rPr>
        <w:t xml:space="preserve">mengewerkt in multidisciplinair </w:t>
      </w:r>
      <w:r w:rsidRPr="00456249">
        <w:rPr>
          <w:sz w:val="20"/>
          <w:szCs w:val="20"/>
        </w:rPr>
        <w:t>verband met GGZ-instelling</w:t>
      </w:r>
      <w:r w:rsidR="0035138B">
        <w:rPr>
          <w:sz w:val="20"/>
          <w:szCs w:val="20"/>
        </w:rPr>
        <w:t>,</w:t>
      </w:r>
      <w:r w:rsidRPr="00456249">
        <w:rPr>
          <w:sz w:val="20"/>
          <w:szCs w:val="20"/>
        </w:rPr>
        <w:t xml:space="preserve"> thuiszorgorganisatie etc.</w:t>
      </w:r>
    </w:p>
    <w:p w14:paraId="2564B2D6" w14:textId="54540C96" w:rsidR="00A50A41" w:rsidRDefault="00A50A41" w:rsidP="00C242C2">
      <w:pPr>
        <w:spacing w:after="0"/>
        <w:rPr>
          <w:rFonts w:ascii="Verdana" w:hAnsi="Verdana"/>
          <w:i/>
          <w:sz w:val="20"/>
          <w:szCs w:val="20"/>
        </w:rPr>
      </w:pPr>
    </w:p>
    <w:p w14:paraId="3773C251" w14:textId="77777777" w:rsidR="00EE1716" w:rsidRDefault="00EE1716" w:rsidP="00C242C2">
      <w:pPr>
        <w:spacing w:after="0"/>
        <w:rPr>
          <w:rFonts w:ascii="Verdana" w:hAnsi="Verdana"/>
          <w:i/>
          <w:sz w:val="20"/>
          <w:szCs w:val="20"/>
        </w:rPr>
      </w:pPr>
    </w:p>
    <w:bookmarkEnd w:id="1"/>
    <w:p w14:paraId="61322732" w14:textId="77777777" w:rsidR="007B670F" w:rsidRDefault="007B670F">
      <w:pPr>
        <w:spacing w:after="0" w:line="240" w:lineRule="auto"/>
        <w:rPr>
          <w:rFonts w:ascii="Verdana" w:hAnsi="Verdana"/>
          <w:i/>
          <w:sz w:val="20"/>
          <w:szCs w:val="20"/>
          <w:u w:val="single"/>
        </w:rPr>
      </w:pPr>
      <w:r>
        <w:rPr>
          <w:rFonts w:ascii="Verdana" w:hAnsi="Verdana"/>
          <w:i/>
          <w:sz w:val="20"/>
          <w:szCs w:val="20"/>
          <w:u w:val="single"/>
        </w:rPr>
        <w:br w:type="page"/>
      </w:r>
    </w:p>
    <w:p w14:paraId="3F5AD862" w14:textId="425F6854" w:rsidR="00277776" w:rsidRPr="009C293B" w:rsidRDefault="00827304" w:rsidP="00C242C2">
      <w:pPr>
        <w:spacing w:after="0"/>
        <w:rPr>
          <w:rFonts w:ascii="Verdana" w:hAnsi="Verdana"/>
          <w:b/>
          <w:sz w:val="20"/>
          <w:szCs w:val="20"/>
        </w:rPr>
      </w:pPr>
      <w:proofErr w:type="spellStart"/>
      <w:r w:rsidRPr="009C293B">
        <w:rPr>
          <w:rFonts w:ascii="Verdana" w:hAnsi="Verdana"/>
          <w:b/>
          <w:sz w:val="20"/>
          <w:szCs w:val="20"/>
        </w:rPr>
        <w:lastRenderedPageBreak/>
        <w:t>E-health</w:t>
      </w:r>
      <w:proofErr w:type="spellEnd"/>
      <w:r w:rsidRPr="009C293B">
        <w:rPr>
          <w:rFonts w:ascii="Verdana" w:hAnsi="Verdana"/>
          <w:b/>
          <w:sz w:val="20"/>
          <w:szCs w:val="20"/>
        </w:rPr>
        <w:t xml:space="preserve"> </w:t>
      </w:r>
    </w:p>
    <w:p w14:paraId="1B2BEBCA" w14:textId="0E4E7511" w:rsidR="00277776" w:rsidRPr="00DF66DC" w:rsidRDefault="00C26404" w:rsidP="00C242C2">
      <w:pPr>
        <w:spacing w:after="0"/>
        <w:rPr>
          <w:rFonts w:ascii="Verdana" w:hAnsi="Verdana"/>
          <w:sz w:val="20"/>
          <w:szCs w:val="20"/>
        </w:rPr>
      </w:pPr>
      <w:r w:rsidRPr="00DF66DC">
        <w:rPr>
          <w:rFonts w:ascii="Verdana" w:hAnsi="Verdana"/>
          <w:sz w:val="20"/>
          <w:szCs w:val="20"/>
        </w:rPr>
        <w:t>Eventuele kosten voor direct aan de functie POH</w:t>
      </w:r>
      <w:r w:rsidR="0040751B">
        <w:rPr>
          <w:rFonts w:ascii="Verdana" w:hAnsi="Verdana"/>
          <w:sz w:val="20"/>
          <w:szCs w:val="20"/>
        </w:rPr>
        <w:t>-</w:t>
      </w:r>
      <w:r w:rsidRPr="00DF66DC">
        <w:rPr>
          <w:rFonts w:ascii="Verdana" w:hAnsi="Verdana"/>
          <w:sz w:val="20"/>
          <w:szCs w:val="20"/>
        </w:rPr>
        <w:t xml:space="preserve">GGZ gekoppelde en voor ingeschreven patiënt beschikbare </w:t>
      </w:r>
      <w:proofErr w:type="spellStart"/>
      <w:r w:rsidRPr="00DF66DC">
        <w:rPr>
          <w:rFonts w:ascii="Verdana" w:hAnsi="Verdana"/>
          <w:sz w:val="20"/>
          <w:szCs w:val="20"/>
        </w:rPr>
        <w:t>e-health</w:t>
      </w:r>
      <w:proofErr w:type="spellEnd"/>
      <w:r w:rsidRPr="00DF66DC">
        <w:rPr>
          <w:rFonts w:ascii="Verdana" w:hAnsi="Verdana"/>
          <w:sz w:val="20"/>
          <w:szCs w:val="20"/>
        </w:rPr>
        <w:t xml:space="preserve"> toepassingen en externe consultatie worden binnen het moduletarief verrekend. Het gaat dan uitdrukkelijk niet over regulier bij de POH</w:t>
      </w:r>
      <w:r w:rsidR="0040751B">
        <w:rPr>
          <w:rFonts w:ascii="Verdana" w:hAnsi="Verdana"/>
          <w:sz w:val="20"/>
          <w:szCs w:val="20"/>
        </w:rPr>
        <w:t>-</w:t>
      </w:r>
      <w:r w:rsidRPr="00DF66DC">
        <w:rPr>
          <w:rFonts w:ascii="Verdana" w:hAnsi="Verdana"/>
          <w:sz w:val="20"/>
          <w:szCs w:val="20"/>
        </w:rPr>
        <w:t>GGZ behorende infrastructurele middelen, aangezien deze kosten reeds onderdeel zijn van de onderbouwing van het tarief dat gekoppeld is aan de i</w:t>
      </w:r>
      <w:r w:rsidR="00827304" w:rsidRPr="00DF66DC">
        <w:rPr>
          <w:rFonts w:ascii="Verdana" w:hAnsi="Verdana"/>
          <w:sz w:val="20"/>
          <w:szCs w:val="20"/>
        </w:rPr>
        <w:t xml:space="preserve">nzet per fte POH GGZ. </w:t>
      </w:r>
    </w:p>
    <w:p w14:paraId="7F016318" w14:textId="77777777" w:rsidR="00A538C7" w:rsidRPr="00DF66DC" w:rsidRDefault="00827304" w:rsidP="00C242C2">
      <w:pPr>
        <w:pStyle w:val="Geenafstand"/>
        <w:spacing w:line="276" w:lineRule="auto"/>
        <w:rPr>
          <w:rFonts w:ascii="Verdana" w:hAnsi="Verdana"/>
          <w:sz w:val="20"/>
          <w:szCs w:val="20"/>
        </w:rPr>
      </w:pPr>
      <w:r w:rsidRPr="00DF66DC">
        <w:rPr>
          <w:rFonts w:ascii="Verdana" w:hAnsi="Verdana"/>
          <w:sz w:val="20"/>
          <w:szCs w:val="20"/>
        </w:rPr>
        <w:br/>
      </w:r>
      <w:r w:rsidR="00E54D59" w:rsidRPr="00DF66DC">
        <w:rPr>
          <w:rFonts w:ascii="Verdana" w:hAnsi="Verdana"/>
          <w:sz w:val="20"/>
          <w:szCs w:val="20"/>
        </w:rPr>
        <w:t xml:space="preserve">Als een praktijk </w:t>
      </w:r>
      <w:r w:rsidR="007D01AA" w:rsidRPr="00DF66DC">
        <w:rPr>
          <w:rFonts w:ascii="Verdana" w:hAnsi="Verdana"/>
          <w:sz w:val="20"/>
          <w:szCs w:val="20"/>
        </w:rPr>
        <w:t>aangeeft</w:t>
      </w:r>
      <w:r w:rsidR="00E54D59" w:rsidRPr="00DF66DC">
        <w:rPr>
          <w:rFonts w:ascii="Verdana" w:hAnsi="Verdana"/>
          <w:sz w:val="20"/>
          <w:szCs w:val="20"/>
        </w:rPr>
        <w:t xml:space="preserve"> om bij toenemende vraag </w:t>
      </w:r>
      <w:r w:rsidR="007D01AA" w:rsidRPr="00DF66DC">
        <w:rPr>
          <w:rFonts w:ascii="Verdana" w:hAnsi="Verdana"/>
          <w:sz w:val="20"/>
          <w:szCs w:val="20"/>
        </w:rPr>
        <w:t xml:space="preserve">gebruik te gaan maken van een </w:t>
      </w:r>
      <w:proofErr w:type="spellStart"/>
      <w:r w:rsidR="007D01AA" w:rsidRPr="00DF66DC">
        <w:rPr>
          <w:rFonts w:ascii="Verdana" w:hAnsi="Verdana"/>
          <w:sz w:val="20"/>
          <w:szCs w:val="20"/>
        </w:rPr>
        <w:t>e-health</w:t>
      </w:r>
      <w:proofErr w:type="spellEnd"/>
      <w:r w:rsidR="007D01AA" w:rsidRPr="00DF66DC">
        <w:rPr>
          <w:rFonts w:ascii="Verdana" w:hAnsi="Verdana"/>
          <w:sz w:val="20"/>
          <w:szCs w:val="20"/>
        </w:rPr>
        <w:t xml:space="preserve"> programma,</w:t>
      </w:r>
      <w:r w:rsidR="00A538C7" w:rsidRPr="00DF66DC">
        <w:rPr>
          <w:rFonts w:ascii="Verdana" w:hAnsi="Verdana"/>
          <w:sz w:val="20"/>
          <w:szCs w:val="20"/>
        </w:rPr>
        <w:t xml:space="preserve"> wordt </w:t>
      </w:r>
      <w:r w:rsidR="007D01AA" w:rsidRPr="00DF66DC">
        <w:rPr>
          <w:rFonts w:ascii="Verdana" w:hAnsi="Verdana"/>
          <w:sz w:val="20"/>
          <w:szCs w:val="20"/>
        </w:rPr>
        <w:t>de uitbreiding berekend</w:t>
      </w:r>
      <w:r w:rsidR="00C8785D" w:rsidRPr="00DF66DC">
        <w:rPr>
          <w:rFonts w:ascii="Verdana" w:hAnsi="Verdana"/>
          <w:sz w:val="20"/>
          <w:szCs w:val="20"/>
        </w:rPr>
        <w:t xml:space="preserve"> </w:t>
      </w:r>
      <w:r w:rsidR="007D01AA" w:rsidRPr="00DF66DC">
        <w:rPr>
          <w:rFonts w:ascii="Verdana" w:hAnsi="Verdana"/>
          <w:sz w:val="20"/>
          <w:szCs w:val="20"/>
        </w:rPr>
        <w:t>op basis van</w:t>
      </w:r>
      <w:r w:rsidR="00A538C7" w:rsidRPr="00DF66DC">
        <w:rPr>
          <w:rFonts w:ascii="Verdana" w:hAnsi="Verdana"/>
          <w:sz w:val="20"/>
          <w:szCs w:val="20"/>
        </w:rPr>
        <w:t xml:space="preserve"> de daadwerkelijk gemaakte kosten voor het </w:t>
      </w:r>
      <w:proofErr w:type="spellStart"/>
      <w:r w:rsidR="00A538C7" w:rsidRPr="00DF66DC">
        <w:rPr>
          <w:rFonts w:ascii="Verdana" w:hAnsi="Verdana"/>
          <w:sz w:val="20"/>
          <w:szCs w:val="20"/>
        </w:rPr>
        <w:t>e-health</w:t>
      </w:r>
      <w:proofErr w:type="spellEnd"/>
      <w:r w:rsidR="00A538C7" w:rsidRPr="00DF66DC">
        <w:rPr>
          <w:rFonts w:ascii="Verdana" w:hAnsi="Verdana"/>
          <w:sz w:val="20"/>
          <w:szCs w:val="20"/>
        </w:rPr>
        <w:t xml:space="preserve"> programma.</w:t>
      </w:r>
      <w:r w:rsidR="000D6D0C" w:rsidRPr="00DF66DC">
        <w:rPr>
          <w:rFonts w:ascii="Verdana" w:hAnsi="Verdana"/>
          <w:sz w:val="20"/>
          <w:szCs w:val="20"/>
        </w:rPr>
        <w:t xml:space="preserve"> De uitbreiding kan niet leiden tot overschrijding van het maximum aantal uren.</w:t>
      </w:r>
    </w:p>
    <w:p w14:paraId="67C6425C" w14:textId="77777777" w:rsidR="007B670F" w:rsidRDefault="007B670F" w:rsidP="00C242C2">
      <w:pPr>
        <w:spacing w:after="0"/>
        <w:rPr>
          <w:rFonts w:ascii="Verdana" w:hAnsi="Verdana"/>
          <w:sz w:val="20"/>
          <w:szCs w:val="20"/>
        </w:rPr>
      </w:pPr>
    </w:p>
    <w:p w14:paraId="7E73EA43" w14:textId="60596296" w:rsidR="007B670F" w:rsidRPr="009C293B" w:rsidRDefault="007B670F" w:rsidP="00C242C2">
      <w:pPr>
        <w:spacing w:after="0"/>
        <w:rPr>
          <w:rFonts w:ascii="Verdana" w:hAnsi="Verdana"/>
          <w:b/>
          <w:sz w:val="20"/>
          <w:szCs w:val="20"/>
        </w:rPr>
      </w:pPr>
      <w:r w:rsidRPr="009C293B">
        <w:rPr>
          <w:rFonts w:ascii="Verdana" w:hAnsi="Verdana"/>
          <w:b/>
          <w:sz w:val="20"/>
          <w:szCs w:val="20"/>
        </w:rPr>
        <w:t>Externe consultatie gespecialiseerde zorgaanbieders</w:t>
      </w:r>
    </w:p>
    <w:p w14:paraId="283D709D" w14:textId="1E7CA58B" w:rsidR="007B670F" w:rsidRDefault="007B670F" w:rsidP="007B670F">
      <w:pPr>
        <w:spacing w:after="0"/>
        <w:rPr>
          <w:rFonts w:ascii="Verdana" w:hAnsi="Verdana"/>
          <w:sz w:val="20"/>
          <w:szCs w:val="20"/>
        </w:rPr>
      </w:pPr>
      <w:r>
        <w:rPr>
          <w:rFonts w:ascii="Verdana" w:hAnsi="Verdana"/>
          <w:sz w:val="20"/>
          <w:szCs w:val="20"/>
        </w:rPr>
        <w:t xml:space="preserve">De huisarts of POH GGZ kan gebruik maken van externe consultatie </w:t>
      </w:r>
      <w:r w:rsidR="001939FC">
        <w:rPr>
          <w:rFonts w:ascii="Verdana" w:hAnsi="Verdana"/>
          <w:sz w:val="20"/>
          <w:szCs w:val="20"/>
        </w:rPr>
        <w:t>via</w:t>
      </w:r>
      <w:r>
        <w:rPr>
          <w:rFonts w:ascii="Verdana" w:hAnsi="Verdana"/>
          <w:sz w:val="20"/>
          <w:szCs w:val="20"/>
        </w:rPr>
        <w:t xml:space="preserve"> GGZ Delfland. </w:t>
      </w:r>
      <w:r w:rsidR="0034558C">
        <w:rPr>
          <w:rFonts w:ascii="Verdana" w:hAnsi="Verdana"/>
          <w:sz w:val="20"/>
          <w:szCs w:val="20"/>
        </w:rPr>
        <w:t>De externe consultatie kan aangevraagd worden via Zorgdomein</w:t>
      </w:r>
      <w:r w:rsidR="001939FC">
        <w:rPr>
          <w:rFonts w:ascii="Verdana" w:hAnsi="Verdana"/>
          <w:sz w:val="20"/>
          <w:szCs w:val="20"/>
        </w:rPr>
        <w:t xml:space="preserve">. </w:t>
      </w:r>
    </w:p>
    <w:p w14:paraId="78A47158" w14:textId="77777777" w:rsidR="007B670F" w:rsidRDefault="007B670F" w:rsidP="007B670F">
      <w:pPr>
        <w:spacing w:after="0"/>
        <w:rPr>
          <w:rFonts w:ascii="Verdana" w:hAnsi="Verdana"/>
          <w:sz w:val="20"/>
          <w:szCs w:val="20"/>
          <w:highlight w:val="yellow"/>
        </w:rPr>
      </w:pPr>
    </w:p>
    <w:p w14:paraId="02260036" w14:textId="463B7B78" w:rsidR="00A538C7" w:rsidRPr="007B670F" w:rsidRDefault="007B670F" w:rsidP="00C242C2">
      <w:pPr>
        <w:spacing w:after="0"/>
        <w:rPr>
          <w:rFonts w:ascii="Verdana" w:hAnsi="Verdana"/>
          <w:sz w:val="20"/>
          <w:szCs w:val="20"/>
        </w:rPr>
      </w:pPr>
      <w:r w:rsidRPr="007B670F">
        <w:rPr>
          <w:rFonts w:ascii="Verdana" w:hAnsi="Verdana"/>
          <w:sz w:val="20"/>
          <w:szCs w:val="20"/>
        </w:rPr>
        <w:t xml:space="preserve">Indien </w:t>
      </w:r>
      <w:r w:rsidR="00004D5A">
        <w:rPr>
          <w:rFonts w:ascii="Verdana" w:hAnsi="Verdana"/>
          <w:sz w:val="20"/>
          <w:szCs w:val="20"/>
        </w:rPr>
        <w:t xml:space="preserve">de huisarts </w:t>
      </w:r>
      <w:r w:rsidRPr="007B670F">
        <w:rPr>
          <w:rFonts w:ascii="Verdana" w:hAnsi="Verdana"/>
          <w:sz w:val="20"/>
          <w:szCs w:val="20"/>
        </w:rPr>
        <w:t xml:space="preserve">gebruik </w:t>
      </w:r>
      <w:r w:rsidR="00004D5A">
        <w:rPr>
          <w:rFonts w:ascii="Verdana" w:hAnsi="Verdana"/>
          <w:sz w:val="20"/>
          <w:szCs w:val="20"/>
        </w:rPr>
        <w:t xml:space="preserve">wil maken </w:t>
      </w:r>
      <w:r w:rsidRPr="007B670F">
        <w:rPr>
          <w:rFonts w:ascii="Verdana" w:hAnsi="Verdana"/>
          <w:sz w:val="20"/>
          <w:szCs w:val="20"/>
        </w:rPr>
        <w:t xml:space="preserve">van </w:t>
      </w:r>
      <w:r w:rsidR="00004D5A">
        <w:rPr>
          <w:rFonts w:ascii="Verdana" w:hAnsi="Verdana"/>
          <w:sz w:val="20"/>
          <w:szCs w:val="20"/>
        </w:rPr>
        <w:t>externe consultatie via een andere zorgaanbieder dan GGZ Delfland, dan</w:t>
      </w:r>
      <w:r w:rsidRPr="007B670F">
        <w:rPr>
          <w:rFonts w:ascii="Verdana" w:hAnsi="Verdana"/>
          <w:sz w:val="20"/>
          <w:szCs w:val="20"/>
        </w:rPr>
        <w:t xml:space="preserve"> dient de huisarts hiervoor een aanvraag in bij DSW met hierin opgenomen een inschatting van het aantal consultaties, </w:t>
      </w:r>
      <w:r w:rsidR="00C606DB">
        <w:rPr>
          <w:rFonts w:ascii="Verdana" w:hAnsi="Verdana"/>
          <w:sz w:val="20"/>
          <w:szCs w:val="20"/>
        </w:rPr>
        <w:t xml:space="preserve">de kosten per consultatie, </w:t>
      </w:r>
      <w:r w:rsidRPr="007B670F">
        <w:rPr>
          <w:rFonts w:ascii="Verdana" w:hAnsi="Verdana"/>
          <w:sz w:val="20"/>
          <w:szCs w:val="20"/>
        </w:rPr>
        <w:t>bij welk specialisme en bij welke zorgaanbieder die consultaties zullen plaatsvinden.</w:t>
      </w:r>
      <w:r w:rsidR="00A538C7" w:rsidRPr="007B670F">
        <w:rPr>
          <w:rFonts w:ascii="Verdana" w:hAnsi="Verdana"/>
          <w:sz w:val="20"/>
          <w:szCs w:val="20"/>
        </w:rPr>
        <w:t xml:space="preserve"> Vergoeding vindt plaats op basis van nacalculatie</w:t>
      </w:r>
      <w:r w:rsidR="00C8785D" w:rsidRPr="007B670F">
        <w:rPr>
          <w:rFonts w:ascii="Verdana" w:hAnsi="Verdana"/>
          <w:sz w:val="20"/>
          <w:szCs w:val="20"/>
        </w:rPr>
        <w:t>, waarbij nooit meer dan het maximum aantal uren gedeclareerd kan worden</w:t>
      </w:r>
      <w:r w:rsidR="00A538C7" w:rsidRPr="007B670F">
        <w:rPr>
          <w:rFonts w:ascii="Verdana" w:hAnsi="Verdana"/>
          <w:sz w:val="20"/>
          <w:szCs w:val="20"/>
        </w:rPr>
        <w:t>.</w:t>
      </w:r>
    </w:p>
    <w:p w14:paraId="46932212" w14:textId="158EDF56" w:rsidR="00F4506A" w:rsidRPr="005C1C7C" w:rsidRDefault="00F4506A" w:rsidP="00C242C2">
      <w:pPr>
        <w:spacing w:after="0"/>
        <w:rPr>
          <w:rFonts w:ascii="Verdana" w:hAnsi="Verdana"/>
          <w:i/>
          <w:sz w:val="20"/>
          <w:szCs w:val="20"/>
          <w:highlight w:val="yellow"/>
        </w:rPr>
      </w:pPr>
    </w:p>
    <w:sectPr w:rsidR="00F4506A" w:rsidRPr="005C1C7C" w:rsidSect="00C242C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134" w:left="1440"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8652" w14:textId="77777777" w:rsidR="0018492E" w:rsidRDefault="0018492E" w:rsidP="006B1674">
      <w:pPr>
        <w:spacing w:after="0" w:line="240" w:lineRule="auto"/>
      </w:pPr>
      <w:r>
        <w:separator/>
      </w:r>
    </w:p>
  </w:endnote>
  <w:endnote w:type="continuationSeparator" w:id="0">
    <w:p w14:paraId="7411D4DE" w14:textId="77777777" w:rsidR="0018492E" w:rsidRDefault="0018492E" w:rsidP="006B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A288" w14:textId="77777777" w:rsidR="00E27316" w:rsidRDefault="00E273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536C" w14:textId="77777777" w:rsidR="0035138B" w:rsidRPr="0035138B" w:rsidRDefault="0035138B" w:rsidP="00C242C2">
    <w:pPr>
      <w:pStyle w:val="Voettekst"/>
      <w:jc w:val="right"/>
      <w:rPr>
        <w:rFonts w:ascii="Verdana" w:hAnsi="Verdana"/>
        <w:sz w:val="20"/>
        <w:szCs w:val="20"/>
      </w:rPr>
    </w:pPr>
    <w:r w:rsidRPr="0035138B">
      <w:rPr>
        <w:rFonts w:ascii="Verdana" w:hAnsi="Verdana"/>
        <w:sz w:val="20"/>
        <w:szCs w:val="20"/>
      </w:rPr>
      <w:fldChar w:fldCharType="begin"/>
    </w:r>
    <w:r w:rsidRPr="0035138B">
      <w:rPr>
        <w:rFonts w:ascii="Verdana" w:hAnsi="Verdana"/>
        <w:sz w:val="20"/>
        <w:szCs w:val="20"/>
      </w:rPr>
      <w:instrText>PAGE   \* MERGEFORMAT</w:instrText>
    </w:r>
    <w:r w:rsidRPr="0035138B">
      <w:rPr>
        <w:rFonts w:ascii="Verdana" w:hAnsi="Verdana"/>
        <w:sz w:val="20"/>
        <w:szCs w:val="20"/>
      </w:rPr>
      <w:fldChar w:fldCharType="separate"/>
    </w:r>
    <w:r w:rsidR="00835E67">
      <w:rPr>
        <w:rFonts w:ascii="Verdana" w:hAnsi="Verdana"/>
        <w:noProof/>
        <w:sz w:val="20"/>
        <w:szCs w:val="20"/>
      </w:rPr>
      <w:t>2</w:t>
    </w:r>
    <w:r w:rsidRPr="0035138B">
      <w:rPr>
        <w:rFonts w:ascii="Verdana" w:hAnsi="Verdana"/>
        <w:sz w:val="20"/>
        <w:szCs w:val="20"/>
      </w:rPr>
      <w:fldChar w:fldCharType="end"/>
    </w:r>
    <w:r w:rsidR="00A538C7">
      <w:rPr>
        <w:rFonts w:ascii="Verdana" w:hAnsi="Verdana"/>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786E" w14:textId="77777777" w:rsidR="00E27316" w:rsidRDefault="00E273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45A0" w14:textId="77777777" w:rsidR="0018492E" w:rsidRDefault="0018492E" w:rsidP="006B1674">
      <w:pPr>
        <w:spacing w:after="0" w:line="240" w:lineRule="auto"/>
      </w:pPr>
      <w:r>
        <w:separator/>
      </w:r>
    </w:p>
  </w:footnote>
  <w:footnote w:type="continuationSeparator" w:id="0">
    <w:p w14:paraId="0E785781" w14:textId="77777777" w:rsidR="0018492E" w:rsidRDefault="0018492E" w:rsidP="006B1674">
      <w:pPr>
        <w:spacing w:after="0" w:line="240" w:lineRule="auto"/>
      </w:pPr>
      <w:r>
        <w:continuationSeparator/>
      </w:r>
    </w:p>
  </w:footnote>
  <w:footnote w:id="1">
    <w:p w14:paraId="45603A66" w14:textId="77777777" w:rsidR="00A03027" w:rsidRDefault="00A03027" w:rsidP="00A03027">
      <w:pPr>
        <w:pStyle w:val="Geenafstand"/>
      </w:pPr>
      <w:r>
        <w:rPr>
          <w:rStyle w:val="Voetnoottekens"/>
          <w:rFonts w:ascii="Verdana" w:hAnsi="Verdana"/>
        </w:rPr>
        <w:footnoteRef/>
      </w:r>
      <w:r>
        <w:rPr>
          <w:rFonts w:ascii="Verdana" w:hAnsi="Verdana" w:cs="Verdana"/>
          <w:sz w:val="16"/>
        </w:rPr>
        <w:t xml:space="preserve"> Met de invoering van de Jeugdwet in 2015 is de verantwoordelijkheid voor de zorg wat betreft organisatie en financiering voor de jeugd bij de gemeenten komen te liggen. De huisarts (en POH GGZ) dragen zorg voor vraagverduidelijking, triage en doorverwijzen.</w:t>
      </w:r>
    </w:p>
  </w:footnote>
  <w:footnote w:id="2">
    <w:p w14:paraId="17AD2456" w14:textId="77777777" w:rsidR="00A03027" w:rsidRDefault="00A03027" w:rsidP="00A03027">
      <w:pPr>
        <w:pStyle w:val="Geenafstand"/>
      </w:pPr>
      <w:r>
        <w:rPr>
          <w:rStyle w:val="Voetnoottekens"/>
          <w:rFonts w:ascii="Verdana" w:hAnsi="Verdana"/>
        </w:rPr>
        <w:footnoteRef/>
      </w:r>
      <w:r>
        <w:rPr>
          <w:rFonts w:ascii="Verdana" w:hAnsi="Verdana" w:cs="Verdana"/>
          <w:sz w:val="16"/>
        </w:rPr>
        <w:t xml:space="preserve"> Functie- en competentieprofiel ‘Praktijkondersteuner huisarts GGZ’ 2020. Versie 1.0</w:t>
      </w:r>
    </w:p>
  </w:footnote>
  <w:footnote w:id="3">
    <w:p w14:paraId="0E6F3076" w14:textId="18BDDB9A" w:rsidR="00A03027" w:rsidRDefault="00A03027">
      <w:pPr>
        <w:pStyle w:val="Voetnoottekst"/>
      </w:pPr>
      <w:r>
        <w:rPr>
          <w:rStyle w:val="Voetnootmarkering"/>
        </w:rPr>
        <w:footnoteRef/>
      </w:r>
      <w:r>
        <w:t xml:space="preserve"> 2350 patiënten</w:t>
      </w:r>
    </w:p>
  </w:footnote>
  <w:footnote w:id="4">
    <w:p w14:paraId="46A7D967" w14:textId="36C62178" w:rsidR="00A03027" w:rsidRDefault="00A03027">
      <w:pPr>
        <w:pStyle w:val="Voetnoottekst"/>
      </w:pPr>
      <w:r>
        <w:rPr>
          <w:rStyle w:val="Voetnootmarkering"/>
        </w:rPr>
        <w:footnoteRef/>
      </w:r>
      <w:r>
        <w:t xml:space="preserve"> 2350 patiënten</w:t>
      </w:r>
    </w:p>
  </w:footnote>
  <w:footnote w:id="5">
    <w:p w14:paraId="4AE90890" w14:textId="6D8FCACE" w:rsidR="0053793E" w:rsidRDefault="0053793E">
      <w:pPr>
        <w:pStyle w:val="Voetnoottekst"/>
      </w:pPr>
      <w:r>
        <w:rPr>
          <w:rStyle w:val="Voetnootmarkering"/>
        </w:rPr>
        <w:footnoteRef/>
      </w:r>
      <w:r>
        <w:t xml:space="preserve"> 2350 patiënten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D094" w14:textId="77777777" w:rsidR="00E27316" w:rsidRDefault="00E273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6DFF" w14:textId="6287C460" w:rsidR="006B1674" w:rsidRPr="009F0575" w:rsidRDefault="00E27316">
    <w:pPr>
      <w:pStyle w:val="Koptekst"/>
      <w:rPr>
        <w:rFonts w:ascii="Verdana" w:hAnsi="Verdana"/>
        <w:b/>
      </w:rPr>
    </w:pPr>
    <w:bookmarkStart w:id="2" w:name="_GoBack"/>
    <w:bookmarkEnd w:id="2"/>
    <w:r>
      <w:rPr>
        <w:noProof/>
      </w:rPr>
      <w:drawing>
        <wp:anchor distT="0" distB="0" distL="114300" distR="114300" simplePos="0" relativeHeight="251658240" behindDoc="0" locked="0" layoutInCell="1" allowOverlap="1" wp14:anchorId="4C01B54E" wp14:editId="60015633">
          <wp:simplePos x="0" y="0"/>
          <wp:positionH relativeFrom="column">
            <wp:posOffset>7477125</wp:posOffset>
          </wp:positionH>
          <wp:positionV relativeFrom="paragraph">
            <wp:posOffset>-306705</wp:posOffset>
          </wp:positionV>
          <wp:extent cx="1466850" cy="656830"/>
          <wp:effectExtent l="0" t="0" r="0" b="0"/>
          <wp:wrapThrough wrapText="bothSides">
            <wp:wrapPolygon edited="0">
              <wp:start x="0" y="0"/>
              <wp:lineTo x="0" y="20054"/>
              <wp:lineTo x="1122" y="20681"/>
              <wp:lineTo x="3647" y="20681"/>
              <wp:lineTo x="5891" y="20681"/>
              <wp:lineTo x="20478" y="20681"/>
              <wp:lineTo x="21319" y="20054"/>
              <wp:lineTo x="2131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68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8E70" w14:textId="77777777" w:rsidR="00E27316" w:rsidRDefault="00E273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name w:val="WW8Num54"/>
    <w:lvl w:ilvl="0">
      <w:start w:val="1"/>
      <w:numFmt w:val="decimal"/>
      <w:lvlText w:val="%1."/>
      <w:lvlJc w:val="left"/>
      <w:pPr>
        <w:tabs>
          <w:tab w:val="num" w:pos="0"/>
        </w:tabs>
        <w:ind w:left="360" w:hanging="360"/>
      </w:pPr>
      <w:rPr>
        <w:rFonts w:hint="default"/>
        <w:sz w:val="20"/>
        <w:szCs w:val="20"/>
      </w:rPr>
    </w:lvl>
    <w:lvl w:ilvl="1">
      <w:start w:val="1"/>
      <w:numFmt w:val="bullet"/>
      <w:lvlText w:val=""/>
      <w:lvlJc w:val="left"/>
      <w:pPr>
        <w:tabs>
          <w:tab w:val="num" w:pos="0"/>
        </w:tabs>
        <w:ind w:left="1080" w:hanging="360"/>
      </w:pPr>
      <w:rPr>
        <w:rFonts w:ascii="Symbol" w:hAnsi="Symbol" w:cs="Symbol" w:hint="default"/>
        <w:sz w:val="20"/>
        <w:szCs w:val="20"/>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0000036"/>
    <w:multiLevelType w:val="singleLevel"/>
    <w:tmpl w:val="00000036"/>
    <w:name w:val="WW8Num105"/>
    <w:lvl w:ilvl="0">
      <w:start w:val="1"/>
      <w:numFmt w:val="bullet"/>
      <w:lvlText w:val=""/>
      <w:lvlJc w:val="left"/>
      <w:pPr>
        <w:tabs>
          <w:tab w:val="num" w:pos="0"/>
        </w:tabs>
        <w:ind w:left="360" w:hanging="360"/>
      </w:pPr>
      <w:rPr>
        <w:rFonts w:ascii="Symbol" w:hAnsi="Symbol" w:cs="Symbol" w:hint="default"/>
        <w:sz w:val="20"/>
        <w:szCs w:val="20"/>
      </w:rPr>
    </w:lvl>
  </w:abstractNum>
  <w:abstractNum w:abstractNumId="2" w15:restartNumberingAfterBreak="0">
    <w:nsid w:val="1A2232DF"/>
    <w:multiLevelType w:val="hybridMultilevel"/>
    <w:tmpl w:val="7F48780C"/>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3522D5"/>
    <w:multiLevelType w:val="hybridMultilevel"/>
    <w:tmpl w:val="132E3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0C10F6"/>
    <w:multiLevelType w:val="hybridMultilevel"/>
    <w:tmpl w:val="C0EC9ED2"/>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4206D91"/>
    <w:multiLevelType w:val="hybridMultilevel"/>
    <w:tmpl w:val="8E864386"/>
    <w:lvl w:ilvl="0" w:tplc="020A73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A35A33"/>
    <w:multiLevelType w:val="hybridMultilevel"/>
    <w:tmpl w:val="65E0C4D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2271A7"/>
    <w:multiLevelType w:val="hybridMultilevel"/>
    <w:tmpl w:val="1CD0DD6E"/>
    <w:lvl w:ilvl="0" w:tplc="0413000F">
      <w:start w:val="1"/>
      <w:numFmt w:val="decimal"/>
      <w:lvlText w:val="%1."/>
      <w:lvlJc w:val="left"/>
      <w:pPr>
        <w:ind w:left="360" w:hanging="360"/>
      </w:pPr>
      <w:rPr>
        <w:rFonts w:hint="default"/>
      </w:rPr>
    </w:lvl>
    <w:lvl w:ilvl="1" w:tplc="AF5CE07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8CE3EF0"/>
    <w:multiLevelType w:val="hybridMultilevel"/>
    <w:tmpl w:val="C1C07730"/>
    <w:lvl w:ilvl="0" w:tplc="D0BC4CF0">
      <w:start w:val="1"/>
      <w:numFmt w:val="decimal"/>
      <w:lvlText w:val="%1."/>
      <w:lvlJc w:val="left"/>
      <w:pPr>
        <w:ind w:left="360" w:hanging="360"/>
      </w:pPr>
      <w:rPr>
        <w:rFonts w:hint="default"/>
        <w:b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C684873"/>
    <w:multiLevelType w:val="hybridMultilevel"/>
    <w:tmpl w:val="322E8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F580305"/>
    <w:multiLevelType w:val="hybridMultilevel"/>
    <w:tmpl w:val="EA265FFA"/>
    <w:lvl w:ilvl="0" w:tplc="00000001">
      <w:start w:val="1"/>
      <w:numFmt w:val="bullet"/>
      <w:lvlText w:val="-"/>
      <w:lvlJc w:val="left"/>
      <w:pPr>
        <w:ind w:left="720" w:hanging="360"/>
      </w:pPr>
      <w:rPr>
        <w:rFonts w:ascii="Verdana" w:hAnsi="Verdana" w:cs="Verdan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670D2B"/>
    <w:multiLevelType w:val="hybridMultilevel"/>
    <w:tmpl w:val="D3981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A911B6"/>
    <w:multiLevelType w:val="hybridMultilevel"/>
    <w:tmpl w:val="429E3952"/>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AE2FF8"/>
    <w:multiLevelType w:val="hybridMultilevel"/>
    <w:tmpl w:val="006C8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A7292"/>
    <w:multiLevelType w:val="hybridMultilevel"/>
    <w:tmpl w:val="33A6BB6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BF3B5A"/>
    <w:multiLevelType w:val="hybridMultilevel"/>
    <w:tmpl w:val="4D1694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7"/>
  </w:num>
  <w:num w:numId="5">
    <w:abstractNumId w:val="8"/>
  </w:num>
  <w:num w:numId="6">
    <w:abstractNumId w:val="13"/>
  </w:num>
  <w:num w:numId="7">
    <w:abstractNumId w:val="12"/>
  </w:num>
  <w:num w:numId="8">
    <w:abstractNumId w:val="3"/>
  </w:num>
  <w:num w:numId="9">
    <w:abstractNumId w:val="11"/>
  </w:num>
  <w:num w:numId="10">
    <w:abstractNumId w:val="5"/>
  </w:num>
  <w:num w:numId="11">
    <w:abstractNumId w:val="9"/>
  </w:num>
  <w:num w:numId="12">
    <w:abstractNumId w:val="4"/>
  </w:num>
  <w:num w:numId="13">
    <w:abstractNumId w:val="6"/>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74"/>
    <w:rsid w:val="00004D5A"/>
    <w:rsid w:val="00074FB9"/>
    <w:rsid w:val="00076E2D"/>
    <w:rsid w:val="00082700"/>
    <w:rsid w:val="000838AF"/>
    <w:rsid w:val="00094C09"/>
    <w:rsid w:val="000A370C"/>
    <w:rsid w:val="000B12E1"/>
    <w:rsid w:val="000B5024"/>
    <w:rsid w:val="000B71F9"/>
    <w:rsid w:val="000D6D0C"/>
    <w:rsid w:val="0010652D"/>
    <w:rsid w:val="001265AB"/>
    <w:rsid w:val="00171849"/>
    <w:rsid w:val="0018492E"/>
    <w:rsid w:val="001939FC"/>
    <w:rsid w:val="001A18A8"/>
    <w:rsid w:val="001D37AE"/>
    <w:rsid w:val="001D412B"/>
    <w:rsid w:val="0026066E"/>
    <w:rsid w:val="00262CAC"/>
    <w:rsid w:val="00265F1A"/>
    <w:rsid w:val="00277776"/>
    <w:rsid w:val="002964E4"/>
    <w:rsid w:val="002F121F"/>
    <w:rsid w:val="003272AA"/>
    <w:rsid w:val="0034558C"/>
    <w:rsid w:val="0035138B"/>
    <w:rsid w:val="00353650"/>
    <w:rsid w:val="00355791"/>
    <w:rsid w:val="003634D3"/>
    <w:rsid w:val="003A3FB2"/>
    <w:rsid w:val="00401E3C"/>
    <w:rsid w:val="0040751B"/>
    <w:rsid w:val="00457F7C"/>
    <w:rsid w:val="004722CA"/>
    <w:rsid w:val="004840F2"/>
    <w:rsid w:val="004D4E65"/>
    <w:rsid w:val="004F02DE"/>
    <w:rsid w:val="00516C4D"/>
    <w:rsid w:val="00530CA4"/>
    <w:rsid w:val="0053793E"/>
    <w:rsid w:val="00595A97"/>
    <w:rsid w:val="005C1C7C"/>
    <w:rsid w:val="005E710D"/>
    <w:rsid w:val="00667FA7"/>
    <w:rsid w:val="00670326"/>
    <w:rsid w:val="00686C92"/>
    <w:rsid w:val="00695DCC"/>
    <w:rsid w:val="006B1674"/>
    <w:rsid w:val="006C2F67"/>
    <w:rsid w:val="006C7F2B"/>
    <w:rsid w:val="006F5FAB"/>
    <w:rsid w:val="007006F9"/>
    <w:rsid w:val="00713521"/>
    <w:rsid w:val="007539B5"/>
    <w:rsid w:val="007A758C"/>
    <w:rsid w:val="007B670F"/>
    <w:rsid w:val="007D01AA"/>
    <w:rsid w:val="007F421E"/>
    <w:rsid w:val="0082627D"/>
    <w:rsid w:val="00827304"/>
    <w:rsid w:val="00835E67"/>
    <w:rsid w:val="0085124D"/>
    <w:rsid w:val="00866387"/>
    <w:rsid w:val="00887A23"/>
    <w:rsid w:val="00893204"/>
    <w:rsid w:val="008A197C"/>
    <w:rsid w:val="008A7392"/>
    <w:rsid w:val="008C084E"/>
    <w:rsid w:val="009109B1"/>
    <w:rsid w:val="00926672"/>
    <w:rsid w:val="009564FF"/>
    <w:rsid w:val="009629EF"/>
    <w:rsid w:val="009B64E7"/>
    <w:rsid w:val="009C293B"/>
    <w:rsid w:val="009F0575"/>
    <w:rsid w:val="009F5B58"/>
    <w:rsid w:val="009F5E15"/>
    <w:rsid w:val="00A00B45"/>
    <w:rsid w:val="00A03027"/>
    <w:rsid w:val="00A36ED5"/>
    <w:rsid w:val="00A50A41"/>
    <w:rsid w:val="00A50A55"/>
    <w:rsid w:val="00A538C7"/>
    <w:rsid w:val="00A53C1D"/>
    <w:rsid w:val="00A60CE5"/>
    <w:rsid w:val="00A81CF9"/>
    <w:rsid w:val="00A82FB9"/>
    <w:rsid w:val="00A92015"/>
    <w:rsid w:val="00A95BF9"/>
    <w:rsid w:val="00AE2398"/>
    <w:rsid w:val="00B0088D"/>
    <w:rsid w:val="00B02515"/>
    <w:rsid w:val="00B1199F"/>
    <w:rsid w:val="00B44678"/>
    <w:rsid w:val="00B67FF5"/>
    <w:rsid w:val="00B902C6"/>
    <w:rsid w:val="00B943FB"/>
    <w:rsid w:val="00BA27EC"/>
    <w:rsid w:val="00BF3D8E"/>
    <w:rsid w:val="00C205AE"/>
    <w:rsid w:val="00C242C2"/>
    <w:rsid w:val="00C26404"/>
    <w:rsid w:val="00C574C3"/>
    <w:rsid w:val="00C606DB"/>
    <w:rsid w:val="00C814C4"/>
    <w:rsid w:val="00C82AE8"/>
    <w:rsid w:val="00C8785D"/>
    <w:rsid w:val="00D01F9C"/>
    <w:rsid w:val="00D12F2A"/>
    <w:rsid w:val="00D434F9"/>
    <w:rsid w:val="00D72E35"/>
    <w:rsid w:val="00DA731C"/>
    <w:rsid w:val="00DC3081"/>
    <w:rsid w:val="00DF66DC"/>
    <w:rsid w:val="00E00852"/>
    <w:rsid w:val="00E13D67"/>
    <w:rsid w:val="00E27316"/>
    <w:rsid w:val="00E54D59"/>
    <w:rsid w:val="00E73FC8"/>
    <w:rsid w:val="00ED0D29"/>
    <w:rsid w:val="00EE1716"/>
    <w:rsid w:val="00EE17E1"/>
    <w:rsid w:val="00F11F0D"/>
    <w:rsid w:val="00F4309B"/>
    <w:rsid w:val="00F4506A"/>
    <w:rsid w:val="00F50FE2"/>
    <w:rsid w:val="00F714C3"/>
    <w:rsid w:val="00F82CB7"/>
    <w:rsid w:val="00FB5D73"/>
    <w:rsid w:val="00FC6E32"/>
    <w:rsid w:val="00FC772C"/>
    <w:rsid w:val="00FD59F7"/>
    <w:rsid w:val="00FF4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32459D4"/>
  <w15:chartTrackingRefBased/>
  <w15:docId w15:val="{8A429ED5-9E07-4E53-971C-66457BB8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1674"/>
    <w:pPr>
      <w:tabs>
        <w:tab w:val="center" w:pos="4513"/>
        <w:tab w:val="right" w:pos="9026"/>
      </w:tabs>
    </w:pPr>
  </w:style>
  <w:style w:type="character" w:customStyle="1" w:styleId="KoptekstChar">
    <w:name w:val="Koptekst Char"/>
    <w:link w:val="Koptekst"/>
    <w:uiPriority w:val="99"/>
    <w:rsid w:val="006B1674"/>
    <w:rPr>
      <w:sz w:val="22"/>
      <w:szCs w:val="22"/>
      <w:lang w:eastAsia="en-US"/>
    </w:rPr>
  </w:style>
  <w:style w:type="paragraph" w:styleId="Voettekst">
    <w:name w:val="footer"/>
    <w:basedOn w:val="Standaard"/>
    <w:link w:val="VoettekstChar"/>
    <w:uiPriority w:val="99"/>
    <w:unhideWhenUsed/>
    <w:rsid w:val="006B1674"/>
    <w:pPr>
      <w:tabs>
        <w:tab w:val="center" w:pos="4513"/>
        <w:tab w:val="right" w:pos="9026"/>
      </w:tabs>
    </w:pPr>
  </w:style>
  <w:style w:type="character" w:customStyle="1" w:styleId="VoettekstChar">
    <w:name w:val="Voettekst Char"/>
    <w:link w:val="Voettekst"/>
    <w:uiPriority w:val="99"/>
    <w:rsid w:val="006B1674"/>
    <w:rPr>
      <w:sz w:val="22"/>
      <w:szCs w:val="22"/>
      <w:lang w:eastAsia="en-US"/>
    </w:rPr>
  </w:style>
  <w:style w:type="character" w:styleId="Voetnootmarkering">
    <w:name w:val="footnote reference"/>
    <w:unhideWhenUsed/>
    <w:rsid w:val="00A50A41"/>
    <w:rPr>
      <w:vertAlign w:val="superscript"/>
    </w:rPr>
  </w:style>
  <w:style w:type="paragraph" w:styleId="Geenafstand">
    <w:name w:val="No Spacing"/>
    <w:uiPriority w:val="1"/>
    <w:qFormat/>
    <w:rsid w:val="00A50A41"/>
    <w:rPr>
      <w:sz w:val="22"/>
      <w:szCs w:val="22"/>
      <w:lang w:eastAsia="en-US"/>
    </w:rPr>
  </w:style>
  <w:style w:type="paragraph" w:customStyle="1" w:styleId="Default">
    <w:name w:val="Default"/>
    <w:rsid w:val="00A50A41"/>
    <w:pPr>
      <w:autoSpaceDE w:val="0"/>
      <w:autoSpaceDN w:val="0"/>
      <w:adjustRightInd w:val="0"/>
    </w:pPr>
    <w:rPr>
      <w:rFonts w:ascii="Verdana" w:hAnsi="Verdana" w:cs="Verdana"/>
      <w:color w:val="000000"/>
      <w:sz w:val="24"/>
      <w:szCs w:val="24"/>
      <w:lang w:eastAsia="en-US"/>
    </w:rPr>
  </w:style>
  <w:style w:type="paragraph" w:styleId="Tekstopmerking">
    <w:name w:val="annotation text"/>
    <w:basedOn w:val="Standaard"/>
    <w:link w:val="TekstopmerkingChar"/>
    <w:uiPriority w:val="99"/>
    <w:semiHidden/>
    <w:unhideWhenUsed/>
    <w:rsid w:val="007539B5"/>
    <w:rPr>
      <w:sz w:val="20"/>
      <w:szCs w:val="20"/>
    </w:rPr>
  </w:style>
  <w:style w:type="character" w:customStyle="1" w:styleId="TekstopmerkingChar">
    <w:name w:val="Tekst opmerking Char"/>
    <w:link w:val="Tekstopmerking"/>
    <w:uiPriority w:val="99"/>
    <w:semiHidden/>
    <w:rsid w:val="007539B5"/>
    <w:rPr>
      <w:lang w:eastAsia="en-US"/>
    </w:rPr>
  </w:style>
  <w:style w:type="paragraph" w:styleId="Ballontekst">
    <w:name w:val="Balloon Text"/>
    <w:basedOn w:val="Standaard"/>
    <w:link w:val="BallontekstChar"/>
    <w:uiPriority w:val="99"/>
    <w:semiHidden/>
    <w:unhideWhenUsed/>
    <w:rsid w:val="007539B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539B5"/>
    <w:rPr>
      <w:rFonts w:ascii="Tahoma" w:hAnsi="Tahoma" w:cs="Tahoma"/>
      <w:sz w:val="16"/>
      <w:szCs w:val="16"/>
      <w:lang w:eastAsia="en-US"/>
    </w:rPr>
  </w:style>
  <w:style w:type="character" w:customStyle="1" w:styleId="Voetnoottekens">
    <w:name w:val="Voetnoottekens"/>
    <w:rsid w:val="00D72E35"/>
    <w:rPr>
      <w:vertAlign w:val="superscript"/>
    </w:rPr>
  </w:style>
  <w:style w:type="paragraph" w:styleId="Lijstalinea">
    <w:name w:val="List Paragraph"/>
    <w:basedOn w:val="Standaard"/>
    <w:uiPriority w:val="34"/>
    <w:qFormat/>
    <w:rsid w:val="00D72E35"/>
    <w:pPr>
      <w:suppressAutoHyphens/>
      <w:ind w:left="720"/>
    </w:pPr>
    <w:rPr>
      <w:lang w:eastAsia="ar-SA"/>
    </w:rPr>
  </w:style>
  <w:style w:type="character" w:styleId="Verwijzingopmerking">
    <w:name w:val="annotation reference"/>
    <w:uiPriority w:val="99"/>
    <w:semiHidden/>
    <w:unhideWhenUsed/>
    <w:rsid w:val="00E54D59"/>
    <w:rPr>
      <w:sz w:val="16"/>
      <w:szCs w:val="16"/>
    </w:rPr>
  </w:style>
  <w:style w:type="paragraph" w:styleId="Onderwerpvanopmerking">
    <w:name w:val="annotation subject"/>
    <w:basedOn w:val="Tekstopmerking"/>
    <w:next w:val="Tekstopmerking"/>
    <w:link w:val="OnderwerpvanopmerkingChar"/>
    <w:uiPriority w:val="99"/>
    <w:semiHidden/>
    <w:unhideWhenUsed/>
    <w:rsid w:val="00E54D59"/>
    <w:rPr>
      <w:b/>
      <w:bCs/>
    </w:rPr>
  </w:style>
  <w:style w:type="character" w:customStyle="1" w:styleId="OnderwerpvanopmerkingChar">
    <w:name w:val="Onderwerp van opmerking Char"/>
    <w:link w:val="Onderwerpvanopmerking"/>
    <w:uiPriority w:val="99"/>
    <w:semiHidden/>
    <w:rsid w:val="00E54D59"/>
    <w:rPr>
      <w:b/>
      <w:bCs/>
      <w:lang w:eastAsia="en-US"/>
    </w:rPr>
  </w:style>
  <w:style w:type="paragraph" w:styleId="Voetnoottekst">
    <w:name w:val="footnote text"/>
    <w:basedOn w:val="Standaard"/>
    <w:link w:val="VoetnoottekstChar"/>
    <w:uiPriority w:val="99"/>
    <w:semiHidden/>
    <w:unhideWhenUsed/>
    <w:rsid w:val="00A030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3027"/>
    <w:rPr>
      <w:lang w:eastAsia="en-US"/>
    </w:rPr>
  </w:style>
  <w:style w:type="character" w:styleId="Hyperlink">
    <w:name w:val="Hyperlink"/>
    <w:basedOn w:val="Standaardalinea-lettertype"/>
    <w:uiPriority w:val="99"/>
    <w:unhideWhenUsed/>
    <w:rsid w:val="00355791"/>
    <w:rPr>
      <w:color w:val="0563C1" w:themeColor="hyperlink"/>
      <w:u w:val="single"/>
    </w:rPr>
  </w:style>
  <w:style w:type="character" w:styleId="Onopgelostemelding">
    <w:name w:val="Unresolved Mention"/>
    <w:basedOn w:val="Standaardalinea-lettertype"/>
    <w:uiPriority w:val="99"/>
    <w:semiHidden/>
    <w:unhideWhenUsed/>
    <w:rsid w:val="00355791"/>
    <w:rPr>
      <w:color w:val="605E5C"/>
      <w:shd w:val="clear" w:color="auto" w:fill="E1DFDD"/>
    </w:rPr>
  </w:style>
  <w:style w:type="character" w:styleId="GevolgdeHyperlink">
    <w:name w:val="FollowedHyperlink"/>
    <w:basedOn w:val="Standaardalinea-lettertype"/>
    <w:uiPriority w:val="99"/>
    <w:semiHidden/>
    <w:unhideWhenUsed/>
    <w:rsid w:val="00B94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4400-01F6-4931-AAF9-7B957A1C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1194</Words>
  <Characters>6569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DSW</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Bouma</dc:creator>
  <cp:keywords/>
  <cp:lastModifiedBy>Elisabeth Bouma</cp:lastModifiedBy>
  <cp:revision>3</cp:revision>
  <cp:lastPrinted>2019-06-25T09:18:00Z</cp:lastPrinted>
  <dcterms:created xsi:type="dcterms:W3CDTF">2022-02-08T11:47:00Z</dcterms:created>
  <dcterms:modified xsi:type="dcterms:W3CDTF">2022-02-15T10:58:00Z</dcterms:modified>
</cp:coreProperties>
</file>